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right="0" w:rightChars="0"/>
        <w:jc w:val="both"/>
        <w:textAlignment w:val="auto"/>
        <w:outlineLvl w:val="9"/>
        <w:rPr>
          <w:rFonts w:hint="eastAsia" w:ascii="黑体" w:eastAsia="黑体"/>
          <w:sz w:val="32"/>
          <w:lang w:eastAsia="zh-CN"/>
        </w:rPr>
      </w:pPr>
      <w:bookmarkStart w:id="5" w:name="_GoBack"/>
      <w:bookmarkEnd w:id="5"/>
      <w:r>
        <w:rPr>
          <w:rFonts w:hint="eastAsia" w:ascii="仿宋" w:hAnsi="仿宋" w:eastAsia="仿宋" w:cs="仿宋"/>
          <w:i w:val="0"/>
          <w:caps w:val="0"/>
          <w:color w:val="000000"/>
          <w:spacing w:val="0"/>
          <w:sz w:val="21"/>
          <w:szCs w:val="21"/>
          <w:shd w:val="clear" w:color="auto" w:fill="F7F7F7"/>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both"/>
        <w:textAlignment w:val="auto"/>
        <w:outlineLvl w:val="9"/>
        <w:rPr>
          <w:rFonts w:hint="eastAsia" w:ascii="黑体" w:eastAsia="黑体"/>
          <w:sz w:val="32"/>
          <w:lang w:eastAsia="zh-CN"/>
        </w:rPr>
      </w:pPr>
      <w:r>
        <w:rPr>
          <w:rFonts w:hint="eastAsia" w:ascii="黑体" w:eastAsia="黑体"/>
          <w:sz w:val="32"/>
          <w:lang w:eastAsia="zh-CN"/>
        </w:rPr>
        <w:t>加  急</w:t>
      </w:r>
      <w:r>
        <w:rPr>
          <w:rFonts w:hint="eastAsia" w:ascii="黑体" w:eastAsia="黑体"/>
          <w:sz w:val="32"/>
          <w:lang w:val="en-US" w:eastAsia="zh-CN"/>
        </w:rPr>
        <w:t xml:space="preserve">                                  </w:t>
      </w:r>
      <w:r>
        <w:rPr>
          <w:rFonts w:hint="default" w:ascii="Times New Roman" w:hAnsi="Times New Roman" w:eastAsia="仿宋" w:cs="Times New Roman"/>
          <w:i w:val="0"/>
          <w:caps w:val="0"/>
          <w:color w:val="000000"/>
          <w:spacing w:val="0"/>
          <w:sz w:val="32"/>
          <w:szCs w:val="32"/>
          <w:shd w:val="clear" w:color="auto" w:fill="F7F7F7"/>
        </w:rPr>
        <w:t>ZJSP12-20</w:t>
      </w:r>
      <w:r>
        <w:rPr>
          <w:rFonts w:hint="default" w:ascii="Times New Roman" w:hAnsi="Times New Roman" w:eastAsia="仿宋" w:cs="Times New Roman"/>
          <w:i w:val="0"/>
          <w:caps w:val="0"/>
          <w:color w:val="000000"/>
          <w:spacing w:val="0"/>
          <w:sz w:val="32"/>
          <w:szCs w:val="32"/>
          <w:shd w:val="clear" w:color="auto" w:fill="F7F7F7"/>
          <w:lang w:val="en-US" w:eastAsia="zh-CN"/>
        </w:rPr>
        <w:t>21</w:t>
      </w:r>
      <w:r>
        <w:rPr>
          <w:rFonts w:hint="default" w:ascii="Times New Roman" w:hAnsi="Times New Roman" w:eastAsia="仿宋" w:cs="Times New Roman"/>
          <w:i w:val="0"/>
          <w:caps w:val="0"/>
          <w:color w:val="000000"/>
          <w:spacing w:val="0"/>
          <w:sz w:val="32"/>
          <w:szCs w:val="32"/>
          <w:shd w:val="clear" w:color="auto" w:fill="F7F7F7"/>
        </w:rPr>
        <w:t>-00</w:t>
      </w:r>
      <w:r>
        <w:rPr>
          <w:rFonts w:hint="default" w:ascii="Times New Roman" w:hAnsi="Times New Roman" w:eastAsia="仿宋" w:cs="Times New Roman"/>
          <w:i w:val="0"/>
          <w:caps w:val="0"/>
          <w:color w:val="000000"/>
          <w:spacing w:val="0"/>
          <w:sz w:val="32"/>
          <w:szCs w:val="32"/>
          <w:shd w:val="clear" w:color="auto" w:fill="F7F7F7"/>
          <w:lang w:val="en-US" w:eastAsia="zh-CN"/>
        </w:rPr>
        <w:t>0</w:t>
      </w:r>
      <w:r>
        <w:rPr>
          <w:rFonts w:hint="eastAsia" w:ascii="Times New Roman" w:hAnsi="Times New Roman" w:eastAsia="仿宋" w:cs="Times New Roman"/>
          <w:i w:val="0"/>
          <w:caps w:val="0"/>
          <w:color w:val="000000"/>
          <w:spacing w:val="0"/>
          <w:sz w:val="32"/>
          <w:szCs w:val="32"/>
          <w:shd w:val="clear" w:color="auto" w:fill="F7F7F7"/>
          <w:lang w:val="en-US" w:eastAsia="zh-CN"/>
        </w:rPr>
        <w:t>3</w:t>
      </w:r>
    </w:p>
    <w:p>
      <w:pPr>
        <w:keepNext w:val="0"/>
        <w:keepLines w:val="0"/>
        <w:pageBreakBefore w:val="0"/>
        <w:widowControl w:val="0"/>
        <w:kinsoku/>
        <w:wordWrap/>
        <w:overflowPunct/>
        <w:topLinePunct w:val="0"/>
        <w:autoSpaceDE/>
        <w:autoSpaceDN/>
        <w:bidi w:val="0"/>
        <w:adjustRightInd/>
        <w:snapToGrid w:val="0"/>
        <w:spacing w:line="240" w:lineRule="auto"/>
        <w:ind w:left="2" w:right="0" w:rightChars="0" w:firstLine="2"/>
        <w:jc w:val="both"/>
        <w:textAlignment w:val="auto"/>
        <w:outlineLvl w:val="9"/>
        <w:rPr>
          <w:rFonts w:hint="eastAsia" w:ascii="黑体" w:eastAsia="黑体"/>
          <w:vanish w:val="0"/>
          <w:sz w:val="32"/>
        </w:rPr>
      </w:pPr>
    </w:p>
    <w:p>
      <w:pPr>
        <w:keepNext w:val="0"/>
        <w:keepLines w:val="0"/>
        <w:pageBreakBefore w:val="0"/>
        <w:widowControl w:val="0"/>
        <w:kinsoku/>
        <w:wordWrap/>
        <w:overflowPunct/>
        <w:topLinePunct w:val="0"/>
        <w:autoSpaceDE/>
        <w:autoSpaceDN/>
        <w:bidi w:val="0"/>
        <w:adjustRightInd/>
        <w:snapToGrid w:val="0"/>
        <w:spacing w:line="240" w:lineRule="auto"/>
        <w:ind w:left="2" w:right="0" w:rightChars="0" w:firstLine="2"/>
        <w:jc w:val="both"/>
        <w:textAlignment w:val="auto"/>
        <w:outlineLvl w:val="9"/>
        <w:rPr>
          <w:rFonts w:hint="eastAsia" w:ascii="黑体" w:eastAsia="黑体"/>
          <w:vanish w:val="0"/>
          <w:sz w:val="32"/>
        </w:rPr>
      </w:pP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00"/>
        <w:gridCol w:w="2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204" w:hRule="atLeast"/>
          <w:jc w:val="center"/>
          <w:hidden/>
        </w:trPr>
        <w:tc>
          <w:tcPr>
            <w:tcW w:w="7000" w:type="dxa"/>
            <w:noWrap w:val="0"/>
            <w:vAlign w:val="top"/>
          </w:tcPr>
          <w:p>
            <w:pPr>
              <w:jc w:val="distribute"/>
              <w:rPr>
                <w:rFonts w:hint="eastAsia" w:ascii="方正小标宋简体" w:eastAsia="方正小标宋简体"/>
                <w:vanish w:val="0"/>
                <w:color w:val="FF0000"/>
                <w:sz w:val="44"/>
                <w:szCs w:val="44"/>
                <w:lang w:eastAsia="zh-CN"/>
              </w:rPr>
            </w:pPr>
            <w:bookmarkStart w:id="0" w:name="markhead"/>
            <w:r>
              <w:rPr>
                <w:rFonts w:hint="eastAsia" w:ascii="方正小标宋简体" w:eastAsia="方正小标宋简体"/>
                <w:vanish w:val="0"/>
                <w:color w:val="FF0000"/>
                <w:sz w:val="44"/>
                <w:szCs w:val="44"/>
                <w:lang w:eastAsia="zh-CN"/>
              </w:rPr>
              <w:t>浙江省财政厅</w:t>
            </w:r>
            <w:bookmarkEnd w:id="0"/>
          </w:p>
        </w:tc>
        <w:tc>
          <w:tcPr>
            <w:tcW w:w="2000" w:type="dxa"/>
            <w:noWrap w:val="0"/>
            <w:vAlign w:val="center"/>
          </w:tcPr>
          <w:p>
            <w:pPr>
              <w:jc w:val="distribute"/>
              <w:rPr>
                <w:rFonts w:hint="eastAsia" w:ascii="方正小标宋简体" w:eastAsia="方正小标宋简体"/>
                <w:vanish w:val="0"/>
                <w:color w:val="FF0000"/>
                <w:sz w:val="44"/>
                <w:szCs w:val="44"/>
                <w:lang w:eastAsia="zh-CN"/>
              </w:rPr>
            </w:pPr>
            <w:bookmarkStart w:id="1" w:name="fileType"/>
            <w:r>
              <w:rPr>
                <w:rFonts w:hint="eastAsia" w:ascii="方正小标宋简体" w:eastAsia="方正小标宋简体"/>
                <w:vanish w:val="0"/>
                <w:color w:val="FF0000"/>
                <w:sz w:val="44"/>
                <w:szCs w:val="44"/>
                <w:lang w:eastAsia="zh-CN"/>
              </w:rPr>
              <w:t>文件</w:t>
            </w:r>
            <w:bookmarkEnd w:id="1"/>
          </w:p>
        </w:tc>
      </w:tr>
    </w:tbl>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_GB2312" w:eastAsia="仿宋_GB2312"/>
          <w:vanish w:val="0"/>
        </w:rPr>
      </w:pPr>
    </w:p>
    <w:p>
      <w:pPr>
        <w:jc w:val="center"/>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浙财采监〔2021〕2号</w:t>
      </w:r>
    </w:p>
    <w:p>
      <w:pPr>
        <w:rPr>
          <w:rFonts w:hint="eastAsia" w:ascii="仿宋_GB2312" w:eastAsia="仿宋_GB2312"/>
          <w:vanish w:val="0"/>
          <w:szCs w:val="21"/>
        </w:rPr>
      </w:pPr>
      <w:r>
        <w:rPr>
          <w:rFonts w:ascii="仿宋_GB2312" w:eastAsia="仿宋_GB2312"/>
          <w:vanish w:val="0"/>
          <w:sz w:val="20"/>
          <w:szCs w:val="21"/>
          <w:lang/>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230505</wp:posOffset>
                </wp:positionV>
                <wp:extent cx="5529580" cy="0"/>
                <wp:effectExtent l="0" t="0" r="0" b="0"/>
                <wp:wrapNone/>
                <wp:docPr id="1" name="Line 2"/>
                <wp:cNvGraphicFramePr/>
                <a:graphic xmlns:a="http://schemas.openxmlformats.org/drawingml/2006/main">
                  <a:graphicData uri="http://schemas.microsoft.com/office/word/2010/wordprocessingShape">
                    <wps:wsp>
                      <wps:cNvSpPr/>
                      <wps:spPr>
                        <a:xfrm>
                          <a:off x="0" y="0"/>
                          <a:ext cx="552958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Line 2" o:spid="_x0000_s1026" o:spt="20" style="position:absolute;left:0pt;margin-left:0pt;margin-top:18.15pt;height:0pt;width:435.4pt;z-index:251658240;mso-width-relative:page;mso-height-relative:page;" filled="f" stroked="t" coordsize="21600,21600" o:gfxdata="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ACMr1e1AAAAAYBAAAPAAAAAAAAAAEA&#10;IAAAADgAAABkcnMvZG93bnJldi54bWxQSwECFAAUAAAACACHTuJAXE0excQBAACPAwAADgAAAAAA&#10;AAABACAAAAA5AQAAZHJzL2Uyb0RvYy54bWxQSwUGAAAAAAYABgBZAQAAbwUAAAAA&#10;">
                <v:fill on="f" focussize="0,0"/>
                <v:stroke weight="2.25pt" color="#FF0000" joinstyle="round"/>
                <v:imagedata o:title=""/>
                <o:lock v:ext="edit" aspectratio="f"/>
              </v:line>
            </w:pict>
          </mc:Fallback>
        </mc:AlternateContent>
      </w:r>
    </w:p>
    <w:p>
      <w:pPr>
        <w:snapToGrid w:val="0"/>
        <w:jc w:val="center"/>
        <w:rPr>
          <w:rFonts w:hint="eastAsia" w:ascii="方正小标宋简体" w:eastAsia="方正小标宋简体"/>
          <w:vanish w:val="0"/>
          <w:sz w:val="44"/>
          <w:szCs w:val="21"/>
        </w:rPr>
      </w:pPr>
    </w:p>
    <w:p>
      <w:pPr>
        <w:snapToGrid w:val="0"/>
        <w:jc w:val="center"/>
        <w:rPr>
          <w:rFonts w:hint="eastAsia" w:ascii="方正小标宋简体" w:eastAsia="方正小标宋简体"/>
          <w:vanish w:val="0"/>
          <w:sz w:val="44"/>
          <w:szCs w:val="21"/>
        </w:rPr>
      </w:pPr>
    </w:p>
    <w:p>
      <w:pPr>
        <w:snapToGrid w:val="0"/>
        <w:jc w:val="center"/>
        <w:rPr>
          <w:rFonts w:hint="eastAsia" w:ascii="方正小标宋简体" w:eastAsia="方正小标宋简体"/>
          <w:sz w:val="44"/>
          <w:lang w:eastAsia="zh-CN"/>
        </w:rPr>
      </w:pPr>
      <w:r>
        <w:rPr>
          <w:rFonts w:hint="eastAsia" w:ascii="方正小标宋简体" w:eastAsia="方正小标宋简体"/>
          <w:sz w:val="44"/>
          <w:lang w:eastAsia="zh-CN"/>
        </w:rPr>
        <w:t>浙江省财政厅关于进一步规范政府购买</w:t>
      </w:r>
    </w:p>
    <w:p>
      <w:pPr>
        <w:snapToGrid w:val="0"/>
        <w:jc w:val="center"/>
        <w:rPr>
          <w:rFonts w:hint="eastAsia" w:ascii="方正小标宋简体" w:eastAsia="方正小标宋简体"/>
          <w:sz w:val="44"/>
          <w:lang w:eastAsia="zh-CN"/>
        </w:rPr>
      </w:pPr>
      <w:r>
        <w:rPr>
          <w:rFonts w:hint="eastAsia" w:ascii="方正小标宋简体" w:eastAsia="方正小标宋简体"/>
          <w:sz w:val="44"/>
          <w:lang w:eastAsia="zh-CN"/>
        </w:rPr>
        <w:t>服务采购管理的通知</w:t>
      </w:r>
    </w:p>
    <w:p>
      <w:pPr>
        <w:keepNext w:val="0"/>
        <w:keepLines w:val="0"/>
        <w:pageBreakBefore w:val="0"/>
        <w:widowControl w:val="0"/>
        <w:kinsoku/>
        <w:wordWrap/>
        <w:overflowPunct/>
        <w:topLinePunct w:val="0"/>
        <w:autoSpaceDE/>
        <w:autoSpaceDN/>
        <w:bidi w:val="0"/>
        <w:adjustRightInd/>
        <w:spacing w:line="240" w:lineRule="auto"/>
        <w:ind w:right="0" w:rightChars="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pacing w:beforeLines="0" w:afterLines="0" w:line="520" w:lineRule="exact"/>
        <w:ind w:right="0" w:rightChars="0"/>
        <w:jc w:val="both"/>
        <w:textAlignment w:val="auto"/>
        <w:rPr>
          <w:rFonts w:hint="eastAsia" w:ascii="仿宋_GB2312" w:eastAsia="仿宋_GB2312"/>
          <w:sz w:val="32"/>
          <w:szCs w:val="32"/>
        </w:rPr>
      </w:pPr>
      <w:bookmarkStart w:id="2" w:name="hallSendFileMainSend"/>
      <w:r>
        <w:rPr>
          <w:rFonts w:hint="eastAsia" w:ascii="仿宋_GB2312" w:eastAsia="仿宋_GB2312"/>
          <w:sz w:val="32"/>
          <w:szCs w:val="32"/>
          <w:lang w:val="en-US" w:eastAsia="zh-CN"/>
        </w:rPr>
        <w:t>各市、县（市、区）财政局，省级各单位</w:t>
      </w:r>
      <w:bookmarkEnd w:id="2"/>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624" w:firstLineChars="200"/>
        <w:jc w:val="both"/>
        <w:textAlignment w:val="auto"/>
        <w:rPr>
          <w:rFonts w:hint="eastAsia" w:ascii="仿宋_GB2312" w:hAnsi="仿宋_GB2312" w:eastAsia="仿宋_GB2312" w:cs="仿宋_GB2312"/>
          <w:sz w:val="32"/>
          <w:szCs w:val="32"/>
        </w:rPr>
      </w:pPr>
      <w:bookmarkStart w:id="3" w:name="hallSendContent"/>
      <w:bookmarkEnd w:id="3"/>
      <w:r>
        <w:rPr>
          <w:rFonts w:hint="eastAsia" w:ascii="仿宋_GB2312" w:hAnsi="仿宋_GB2312" w:eastAsia="仿宋_GB2312" w:cs="仿宋_GB2312"/>
          <w:sz w:val="32"/>
          <w:szCs w:val="32"/>
        </w:rPr>
        <w:t>为进一步规范政府购买服务采购行为，提高政府购买服务</w:t>
      </w:r>
      <w:r>
        <w:rPr>
          <w:rFonts w:hint="eastAsia" w:ascii="仿宋_GB2312" w:hAnsi="仿宋_GB2312" w:eastAsia="仿宋_GB2312" w:cs="仿宋_GB2312"/>
          <w:sz w:val="32"/>
          <w:szCs w:val="32"/>
          <w:lang w:eastAsia="zh-CN"/>
        </w:rPr>
        <w:t>资金的使用</w:t>
      </w:r>
      <w:r>
        <w:rPr>
          <w:rFonts w:hint="eastAsia" w:ascii="仿宋_GB2312" w:hAnsi="仿宋_GB2312" w:eastAsia="仿宋_GB2312" w:cs="仿宋_GB2312"/>
          <w:sz w:val="32"/>
          <w:szCs w:val="32"/>
        </w:rPr>
        <w:t>效益，根据《中华人民共和国政府采购法》</w:t>
      </w:r>
      <w:r>
        <w:rPr>
          <w:rFonts w:hint="eastAsia" w:ascii="仿宋_GB2312" w:hAnsi="仿宋_GB2312" w:eastAsia="仿宋_GB2312" w:cs="仿宋_GB2312"/>
          <w:sz w:val="32"/>
          <w:szCs w:val="32"/>
          <w:lang w:eastAsia="zh-CN"/>
        </w:rPr>
        <w:t>《中华人民共和国政府采购法实施条例》</w:t>
      </w:r>
      <w:r>
        <w:rPr>
          <w:rFonts w:hint="eastAsia" w:ascii="仿宋_GB2312" w:hAnsi="仿宋_GB2312" w:eastAsia="仿宋_GB2312" w:cs="仿宋_GB2312"/>
          <w:sz w:val="32"/>
          <w:szCs w:val="32"/>
        </w:rPr>
        <w:t>《政府购买服务管理办法》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财政部</w:t>
      </w:r>
      <w:r>
        <w:rPr>
          <w:rFonts w:hint="eastAsia" w:ascii="仿宋_GB2312" w:hAnsi="仿宋_GB2312" w:eastAsia="仿宋_GB2312" w:cs="仿宋_GB2312"/>
          <w:sz w:val="32"/>
          <w:szCs w:val="32"/>
          <w:lang w:eastAsia="zh-CN"/>
        </w:rPr>
        <w:t>令第</w:t>
      </w:r>
      <w:r>
        <w:rPr>
          <w:rFonts w:hint="eastAsia" w:ascii="仿宋_GB2312" w:hAnsi="仿宋_GB2312" w:eastAsia="仿宋_GB2312" w:cs="仿宋_GB2312"/>
          <w:sz w:val="32"/>
          <w:szCs w:val="32"/>
          <w:lang w:val="en-US" w:eastAsia="zh-CN"/>
        </w:rPr>
        <w:t>102号）</w:t>
      </w:r>
      <w:r>
        <w:rPr>
          <w:rFonts w:hint="eastAsia" w:ascii="仿宋_GB2312" w:hAnsi="仿宋_GB2312" w:eastAsia="仿宋_GB2312" w:cs="仿宋_GB2312"/>
          <w:sz w:val="32"/>
          <w:szCs w:val="32"/>
        </w:rPr>
        <w:t>等法律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法规</w:t>
      </w:r>
      <w:r>
        <w:rPr>
          <w:rFonts w:hint="eastAsia" w:ascii="仿宋_GB2312" w:hAnsi="仿宋_GB2312" w:eastAsia="仿宋_GB2312" w:cs="仿宋_GB2312"/>
          <w:sz w:val="32"/>
          <w:szCs w:val="32"/>
          <w:lang w:eastAsia="zh-CN"/>
        </w:rPr>
        <w:t>、规章</w:t>
      </w:r>
      <w:r>
        <w:rPr>
          <w:rFonts w:hint="eastAsia" w:ascii="仿宋_GB2312" w:hAnsi="仿宋_GB2312" w:eastAsia="仿宋_GB2312" w:cs="仿宋_GB2312"/>
          <w:sz w:val="32"/>
          <w:szCs w:val="32"/>
        </w:rPr>
        <w:t>的规定，结合我省实际，现就有关事项通知如下：</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624"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一、使用财政性资金采购依法制定的集中采购目录以内</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或者采购限额标准以上的政府购买服务项目，</w:t>
      </w:r>
      <w:r>
        <w:rPr>
          <w:rFonts w:hint="eastAsia" w:ascii="仿宋_GB2312" w:hAnsi="仿宋_GB2312" w:eastAsia="仿宋_GB2312" w:cs="仿宋_GB2312"/>
          <w:sz w:val="32"/>
          <w:szCs w:val="32"/>
          <w:lang w:eastAsia="zh-CN"/>
        </w:rPr>
        <w:t>购买主体</w:t>
      </w:r>
      <w:r>
        <w:rPr>
          <w:rFonts w:hint="eastAsia" w:ascii="仿宋_GB2312" w:hAnsi="仿宋_GB2312" w:eastAsia="仿宋_GB2312" w:cs="仿宋_GB2312"/>
          <w:sz w:val="32"/>
          <w:szCs w:val="32"/>
        </w:rPr>
        <w:t>应当依法实</w:t>
      </w:r>
      <w:r>
        <w:rPr>
          <w:rFonts w:hint="eastAsia" w:ascii="仿宋_GB2312" w:hAnsi="仿宋_GB2312" w:eastAsia="仿宋_GB2312" w:cs="仿宋_GB2312"/>
          <w:sz w:val="32"/>
          <w:szCs w:val="32"/>
          <w:lang w:eastAsia="zh-CN"/>
        </w:rPr>
        <w:t>行</w:t>
      </w:r>
      <w:r>
        <w:rPr>
          <w:rFonts w:hint="eastAsia" w:ascii="仿宋_GB2312" w:hAnsi="仿宋_GB2312" w:eastAsia="仿宋_GB2312" w:cs="仿宋_GB2312"/>
          <w:sz w:val="32"/>
          <w:szCs w:val="32"/>
        </w:rPr>
        <w:t>政府采购。集中采购目录以外</w:t>
      </w:r>
      <w:r>
        <w:rPr>
          <w:rFonts w:hint="eastAsia" w:ascii="仿宋_GB2312" w:hAnsi="仿宋_GB2312" w:eastAsia="仿宋_GB2312" w:cs="仿宋_GB2312"/>
          <w:sz w:val="32"/>
          <w:szCs w:val="32"/>
          <w:lang w:eastAsia="zh-CN"/>
        </w:rPr>
        <w:t>、不足</w:t>
      </w:r>
      <w:r>
        <w:rPr>
          <w:rFonts w:hint="eastAsia" w:ascii="仿宋_GB2312" w:hAnsi="仿宋_GB2312" w:eastAsia="仿宋_GB2312" w:cs="仿宋_GB2312"/>
          <w:sz w:val="32"/>
          <w:szCs w:val="32"/>
        </w:rPr>
        <w:t>采购限额标准的政府购买服务项目，购买主体按照本部门、本单位内控</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财务制度的规定</w:t>
      </w:r>
      <w:r>
        <w:rPr>
          <w:rFonts w:hint="eastAsia" w:ascii="仿宋_GB2312" w:hAnsi="仿宋_GB2312" w:eastAsia="仿宋_GB2312" w:cs="仿宋_GB2312"/>
          <w:sz w:val="32"/>
          <w:szCs w:val="32"/>
          <w:lang w:eastAsia="zh-CN"/>
        </w:rPr>
        <w:t>实行</w:t>
      </w:r>
      <w:r>
        <w:rPr>
          <w:rFonts w:hint="eastAsia" w:ascii="仿宋_GB2312" w:hAnsi="仿宋_GB2312" w:eastAsia="仿宋_GB2312" w:cs="仿宋_GB2312"/>
          <w:sz w:val="32"/>
          <w:szCs w:val="32"/>
        </w:rPr>
        <w:t>自行采购。</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二、政府购买服务项目</w:t>
      </w:r>
      <w:r>
        <w:rPr>
          <w:rFonts w:hint="eastAsia" w:ascii="仿宋_GB2312" w:hAnsi="仿宋_GB2312" w:eastAsia="仿宋_GB2312" w:cs="仿宋_GB2312"/>
          <w:sz w:val="32"/>
          <w:szCs w:val="32"/>
          <w:lang w:eastAsia="zh-CN"/>
        </w:rPr>
        <w:t>采购环节的执行和监督管理，包括集中采购目录、采购限额标准、公开招标数额标准、采购政策、采购方式、采购程序、信息公开、质疑投诉、失信惩戒等，按照政府采购法律、法规、规章和相关制度执行</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三、购买主体应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eastAsia="zh-CN"/>
        </w:rPr>
        <w:t>政府购买服务</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的性质、</w:t>
      </w:r>
      <w:r>
        <w:rPr>
          <w:rFonts w:hint="eastAsia" w:ascii="仿宋_GB2312" w:hAnsi="仿宋_GB2312" w:eastAsia="仿宋_GB2312" w:cs="仿宋_GB2312"/>
          <w:sz w:val="32"/>
          <w:szCs w:val="32"/>
        </w:rPr>
        <w:t>特点</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市场</w:t>
      </w:r>
      <w:r>
        <w:rPr>
          <w:rFonts w:hint="eastAsia" w:ascii="仿宋_GB2312" w:hAnsi="仿宋_GB2312" w:eastAsia="仿宋_GB2312" w:cs="仿宋_GB2312"/>
          <w:sz w:val="32"/>
          <w:szCs w:val="32"/>
          <w:lang w:eastAsia="zh-CN"/>
        </w:rPr>
        <w:t>状况、相关供应商服务能力和信用状况等因素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依法选择合适的采购方式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鼓励依法选择有利于提高采购效率、保证项目质量的竞争性非招标采购方式。</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四、公共服务项目符合以下情形之一的，可以采用单一来源采购方式:</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624"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在现有的经济和技术条件下，更换承接主体将无法保证与原有项目的一致性或者服务配套要求，且导致服务成本大幅度增加或者原有投资损失</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省级以上（含省级）购买主体最近</w:t>
      </w:r>
      <w:r>
        <w:rPr>
          <w:rFonts w:hint="eastAsia" w:ascii="仿宋_GB2312" w:hAnsi="仿宋_GB2312" w:eastAsia="仿宋_GB2312" w:cs="仿宋_GB2312"/>
          <w:sz w:val="32"/>
          <w:szCs w:val="32"/>
          <w:lang w:val="en-US" w:eastAsia="zh-CN"/>
        </w:rPr>
        <w:t>1年内通过公开竞争方式产生的同类项目的政府采购结果，本系统下级购买主体确实需要直接采用；</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（三）其他属于《政府采购法实施条例》第二十七条规定的具有特殊要求导致只能从某一特定承接主体处采购的公共服务项目。</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20" w:lineRule="exact"/>
        <w:ind w:left="5" w:leftChars="0" w:right="0" w:rightChars="0" w:firstLine="624"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适用本条第一项、第二项情形采用单一来源采购方式的，购买主体可以与承接主体就合同价格进行再次协商。</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20" w:lineRule="exact"/>
        <w:ind w:left="5" w:leftChars="0" w:right="0" w:rightChars="0" w:firstLine="624"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达到公开招标数额标准的</w:t>
      </w:r>
      <w:r>
        <w:rPr>
          <w:rFonts w:hint="eastAsia" w:ascii="仿宋_GB2312" w:hAnsi="仿宋_GB2312" w:eastAsia="仿宋_GB2312" w:cs="仿宋_GB2312"/>
          <w:sz w:val="32"/>
          <w:szCs w:val="32"/>
          <w:lang w:eastAsia="zh-CN"/>
        </w:rPr>
        <w:t>公共服务项目，拟采用单一来源采购方式的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购买主体</w:t>
      </w:r>
      <w:r>
        <w:rPr>
          <w:rFonts w:hint="eastAsia" w:ascii="仿宋_GB2312" w:hAnsi="仿宋_GB2312" w:eastAsia="仿宋_GB2312" w:cs="仿宋_GB2312"/>
          <w:sz w:val="32"/>
          <w:szCs w:val="32"/>
        </w:rPr>
        <w:t>应当</w:t>
      </w:r>
      <w:r>
        <w:rPr>
          <w:rFonts w:hint="eastAsia" w:ascii="仿宋_GB2312" w:hAnsi="仿宋_GB2312" w:eastAsia="仿宋_GB2312" w:cs="仿宋_GB2312"/>
          <w:sz w:val="32"/>
          <w:szCs w:val="32"/>
          <w:lang w:eastAsia="zh-CN"/>
        </w:rPr>
        <w:t>在采购活动开始前，</w:t>
      </w:r>
      <w:r>
        <w:rPr>
          <w:rFonts w:hint="eastAsia" w:ascii="仿宋_GB2312" w:hAnsi="仿宋_GB2312" w:eastAsia="仿宋_GB2312" w:cs="仿宋_GB2312"/>
          <w:sz w:val="32"/>
          <w:szCs w:val="32"/>
          <w:lang w:val="en-US" w:eastAsia="zh-CN"/>
        </w:rPr>
        <w:t>报经主管预算单位同意后，向设区市以上人民政府财政部门或者县级人民政府申请批准。符合本条第一项、第三项规定情形，申请采用单一来源采购方式的，在报批前，购买主体应当依法组织单一来源采购</w:t>
      </w:r>
      <w:r>
        <w:rPr>
          <w:rFonts w:hint="eastAsia" w:ascii="仿宋_GB2312" w:hAnsi="仿宋_GB2312" w:eastAsia="仿宋_GB2312" w:cs="仿宋_GB2312"/>
          <w:sz w:val="32"/>
          <w:szCs w:val="32"/>
        </w:rPr>
        <w:t>论证</w:t>
      </w:r>
      <w:r>
        <w:rPr>
          <w:rFonts w:hint="eastAsia" w:ascii="仿宋_GB2312" w:hAnsi="仿宋_GB2312" w:eastAsia="仿宋_GB2312" w:cs="仿宋_GB2312"/>
          <w:sz w:val="32"/>
          <w:szCs w:val="32"/>
          <w:lang w:eastAsia="zh-CN"/>
        </w:rPr>
        <w:t>并对论证意见进行</w:t>
      </w:r>
      <w:r>
        <w:rPr>
          <w:rFonts w:hint="eastAsia" w:ascii="仿宋_GB2312" w:hAnsi="仿宋_GB2312" w:eastAsia="仿宋_GB2312" w:cs="仿宋_GB2312"/>
          <w:sz w:val="32"/>
          <w:szCs w:val="32"/>
        </w:rPr>
        <w:t>公示</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24"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实</w:t>
      </w:r>
      <w:r>
        <w:rPr>
          <w:rFonts w:hint="eastAsia" w:ascii="仿宋_GB2312" w:hAnsi="仿宋_GB2312" w:eastAsia="仿宋_GB2312" w:cs="仿宋_GB2312"/>
          <w:sz w:val="32"/>
          <w:szCs w:val="32"/>
          <w:lang w:eastAsia="zh-CN"/>
        </w:rPr>
        <w:t>行</w:t>
      </w:r>
      <w:r>
        <w:rPr>
          <w:rFonts w:hint="eastAsia" w:ascii="仿宋_GB2312" w:hAnsi="仿宋_GB2312" w:eastAsia="仿宋_GB2312" w:cs="仿宋_GB2312"/>
          <w:sz w:val="32"/>
          <w:szCs w:val="32"/>
        </w:rPr>
        <w:t>政府采购的政府购买服务合同的签订、履行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变更</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，应当遵守政府采购法律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法规</w:t>
      </w:r>
      <w:r>
        <w:rPr>
          <w:rFonts w:hint="eastAsia" w:ascii="仿宋_GB2312" w:hAnsi="仿宋_GB2312" w:eastAsia="仿宋_GB2312" w:cs="仿宋_GB2312"/>
          <w:sz w:val="32"/>
          <w:szCs w:val="32"/>
          <w:lang w:eastAsia="zh-CN"/>
        </w:rPr>
        <w:t>、规章以及</w:t>
      </w:r>
      <w:r>
        <w:rPr>
          <w:rFonts w:hint="eastAsia" w:ascii="仿宋_GB2312" w:hAnsi="仿宋_GB2312" w:eastAsia="仿宋_GB2312" w:cs="仿宋_GB2312"/>
          <w:color w:val="auto"/>
          <w:sz w:val="32"/>
          <w:szCs w:val="32"/>
          <w:lang w:val="en-US" w:eastAsia="zh-CN"/>
        </w:rPr>
        <w:t>民法典</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u w:val="none"/>
          <w:lang w:eastAsia="zh-CN"/>
        </w:rPr>
        <w:t>相关</w:t>
      </w:r>
      <w:r>
        <w:rPr>
          <w:rFonts w:hint="eastAsia" w:ascii="仿宋_GB2312" w:hAnsi="仿宋_GB2312" w:eastAsia="仿宋_GB2312" w:cs="仿宋_GB2312"/>
          <w:sz w:val="32"/>
          <w:szCs w:val="32"/>
        </w:rPr>
        <w:t>规定。合同履行期限一般不超过1年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在预算保障的前提下，对于购买内容相对固定、连续性强，经费来源稳定、价格变动幅度小的政府购买服务项目，可以签订履行期限不超过3年的政府购买服务合同。</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624"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、承接主体应当按照合同约定提供服务，不得将合同转包</w:t>
      </w:r>
      <w:r>
        <w:rPr>
          <w:rFonts w:hint="eastAsia" w:ascii="仿宋_GB2312" w:hAnsi="仿宋_GB2312" w:eastAsia="仿宋_GB2312" w:cs="仿宋_GB2312"/>
          <w:sz w:val="32"/>
          <w:szCs w:val="32"/>
          <w:lang w:eastAsia="zh-CN"/>
        </w:rPr>
        <w:t>给其他主体。</w:t>
      </w:r>
      <w:r>
        <w:rPr>
          <w:rFonts w:hint="eastAsia" w:ascii="仿宋_GB2312" w:hAnsi="仿宋_GB2312" w:eastAsia="仿宋_GB2312" w:cs="仿宋_GB2312"/>
          <w:sz w:val="32"/>
          <w:szCs w:val="32"/>
        </w:rPr>
        <w:t>经购买主体同意</w:t>
      </w:r>
      <w:r>
        <w:rPr>
          <w:rFonts w:hint="eastAsia" w:ascii="仿宋_GB2312" w:hAnsi="仿宋_GB2312" w:eastAsia="仿宋_GB2312" w:cs="仿宋_GB2312"/>
          <w:sz w:val="32"/>
          <w:szCs w:val="32"/>
          <w:lang w:val="en-US" w:eastAsia="zh-CN"/>
        </w:rPr>
        <w:t>并事先</w:t>
      </w:r>
      <w:r>
        <w:rPr>
          <w:rFonts w:hint="eastAsia" w:ascii="仿宋_GB2312" w:hAnsi="仿宋_GB2312" w:eastAsia="仿宋_GB2312" w:cs="仿宋_GB2312"/>
          <w:sz w:val="32"/>
          <w:szCs w:val="32"/>
        </w:rPr>
        <w:t>在采购文件中</w:t>
      </w:r>
      <w:r>
        <w:rPr>
          <w:rFonts w:hint="eastAsia" w:ascii="仿宋_GB2312" w:hAnsi="仿宋_GB2312" w:eastAsia="仿宋_GB2312" w:cs="仿宋_GB2312"/>
          <w:sz w:val="32"/>
          <w:szCs w:val="32"/>
          <w:lang w:eastAsia="zh-CN"/>
        </w:rPr>
        <w:t>载明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承接主体</w:t>
      </w:r>
      <w:r>
        <w:rPr>
          <w:rFonts w:hint="eastAsia" w:ascii="仿宋_GB2312" w:hAnsi="仿宋_GB2312" w:eastAsia="仿宋_GB2312" w:cs="仿宋_GB2312"/>
          <w:sz w:val="32"/>
          <w:szCs w:val="32"/>
        </w:rPr>
        <w:t>可以采取分包方式履行合同。</w:t>
      </w:r>
      <w:r>
        <w:rPr>
          <w:rFonts w:hint="eastAsia" w:ascii="仿宋_GB2312" w:hAnsi="仿宋_GB2312" w:eastAsia="仿宋_GB2312" w:cs="仿宋_GB2312"/>
          <w:sz w:val="32"/>
          <w:szCs w:val="32"/>
          <w:lang w:eastAsia="zh-CN"/>
        </w:rPr>
        <w:t>达到公开招标数额标准</w:t>
      </w:r>
      <w:r>
        <w:rPr>
          <w:rFonts w:hint="eastAsia" w:ascii="仿宋_GB2312" w:hAnsi="仿宋_GB2312" w:eastAsia="仿宋_GB2312" w:cs="仿宋_GB2312"/>
          <w:sz w:val="32"/>
          <w:szCs w:val="32"/>
        </w:rPr>
        <w:t>的公共服务项目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采用单一来源采购方式的，购买主体可</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要求承接主体</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合同进行拆分，将非</w:t>
      </w:r>
      <w:r>
        <w:rPr>
          <w:rFonts w:hint="eastAsia" w:ascii="仿宋_GB2312" w:hAnsi="仿宋_GB2312" w:eastAsia="仿宋_GB2312" w:cs="仿宋_GB2312"/>
          <w:sz w:val="32"/>
          <w:szCs w:val="32"/>
          <w:lang w:eastAsia="zh-CN"/>
        </w:rPr>
        <w:t>主体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非</w:t>
      </w:r>
      <w:r>
        <w:rPr>
          <w:rFonts w:hint="eastAsia" w:ascii="仿宋_GB2312" w:hAnsi="仿宋_GB2312" w:eastAsia="仿宋_GB2312" w:cs="仿宋_GB2312"/>
          <w:sz w:val="32"/>
          <w:szCs w:val="32"/>
        </w:rPr>
        <w:t>关键部分划出一定</w:t>
      </w:r>
      <w:r>
        <w:rPr>
          <w:rFonts w:hint="eastAsia" w:ascii="仿宋_GB2312" w:hAnsi="仿宋_GB2312" w:eastAsia="仿宋_GB2312" w:cs="仿宋_GB2312"/>
          <w:sz w:val="32"/>
          <w:szCs w:val="32"/>
          <w:lang w:eastAsia="zh-CN"/>
        </w:rPr>
        <w:t>份额</w:t>
      </w:r>
      <w:r>
        <w:rPr>
          <w:rFonts w:hint="eastAsia" w:ascii="仿宋_GB2312" w:hAnsi="仿宋_GB2312" w:eastAsia="仿宋_GB2312" w:cs="仿宋_GB2312"/>
          <w:sz w:val="32"/>
          <w:szCs w:val="32"/>
        </w:rPr>
        <w:t>（不超过</w:t>
      </w:r>
      <w:r>
        <w:rPr>
          <w:rFonts w:hint="eastAsia" w:ascii="仿宋_GB2312" w:hAnsi="仿宋_GB2312" w:eastAsia="仿宋_GB2312" w:cs="仿宋_GB2312"/>
          <w:sz w:val="32"/>
          <w:szCs w:val="32"/>
          <w:lang w:eastAsia="zh-CN"/>
        </w:rPr>
        <w:t>合同份额的</w:t>
      </w:r>
      <w:r>
        <w:rPr>
          <w:rFonts w:hint="eastAsia" w:ascii="仿宋_GB2312" w:hAnsi="仿宋_GB2312" w:eastAsia="仿宋_GB2312" w:cs="仿宋_GB2312"/>
          <w:sz w:val="32"/>
          <w:szCs w:val="32"/>
        </w:rPr>
        <w:t>30%）分包给符合条件的中小</w:t>
      </w:r>
      <w:r>
        <w:rPr>
          <w:rFonts w:hint="eastAsia" w:ascii="仿宋_GB2312" w:hAnsi="仿宋_GB2312" w:eastAsia="仿宋_GB2312" w:cs="仿宋_GB2312"/>
          <w:sz w:val="32"/>
          <w:szCs w:val="32"/>
          <w:lang w:eastAsia="zh-CN"/>
        </w:rPr>
        <w:t>微</w:t>
      </w:r>
      <w:r>
        <w:rPr>
          <w:rFonts w:hint="eastAsia" w:ascii="仿宋_GB2312" w:hAnsi="仿宋_GB2312" w:eastAsia="仿宋_GB2312" w:cs="仿宋_GB2312"/>
          <w:sz w:val="32"/>
          <w:szCs w:val="32"/>
          <w:lang w:val="en-US" w:eastAsia="zh-CN"/>
        </w:rPr>
        <w:t>服务供应商</w:t>
      </w:r>
      <w:r>
        <w:rPr>
          <w:rFonts w:hint="eastAsia" w:ascii="仿宋_GB2312" w:hAnsi="仿宋_GB2312" w:eastAsia="仿宋_GB2312" w:cs="仿宋_GB2312"/>
          <w:sz w:val="32"/>
          <w:szCs w:val="32"/>
        </w:rPr>
        <w:t>承担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但</w:t>
      </w:r>
      <w:r>
        <w:rPr>
          <w:rFonts w:hint="eastAsia" w:ascii="仿宋_GB2312" w:hAnsi="仿宋_GB2312" w:eastAsia="仿宋_GB2312" w:cs="仿宋_GB2312"/>
          <w:sz w:val="32"/>
          <w:szCs w:val="32"/>
          <w:lang w:eastAsia="zh-CN"/>
        </w:rPr>
        <w:t>合同</w:t>
      </w:r>
      <w:r>
        <w:rPr>
          <w:rFonts w:hint="eastAsia" w:ascii="仿宋_GB2312" w:hAnsi="仿宋_GB2312" w:eastAsia="仿宋_GB2312" w:cs="仿宋_GB2312"/>
          <w:sz w:val="32"/>
          <w:szCs w:val="32"/>
        </w:rPr>
        <w:t>不适宜拆分的除外。</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624"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购买主体应当</w:t>
      </w:r>
      <w:r>
        <w:rPr>
          <w:rFonts w:hint="eastAsia" w:ascii="仿宋_GB2312" w:hAnsi="仿宋_GB2312" w:eastAsia="仿宋_GB2312" w:cs="仿宋_GB2312"/>
          <w:sz w:val="32"/>
          <w:szCs w:val="32"/>
        </w:rPr>
        <w:t>加强政府购买服务项目履约验收</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。技术复杂、专业性强的政府购买服务项目，</w:t>
      </w:r>
      <w:r>
        <w:rPr>
          <w:rFonts w:hint="eastAsia" w:ascii="仿宋_GB2312" w:hAnsi="仿宋_GB2312" w:eastAsia="仿宋_GB2312" w:cs="仿宋_GB2312"/>
          <w:sz w:val="32"/>
          <w:szCs w:val="32"/>
          <w:lang w:eastAsia="zh-CN"/>
        </w:rPr>
        <w:t>购买主体可以</w:t>
      </w:r>
      <w:r>
        <w:rPr>
          <w:rFonts w:hint="eastAsia" w:ascii="仿宋_GB2312" w:hAnsi="仿宋_GB2312" w:eastAsia="仿宋_GB2312" w:cs="仿宋_GB2312"/>
          <w:sz w:val="32"/>
          <w:szCs w:val="32"/>
        </w:rPr>
        <w:t>邀请</w:t>
      </w:r>
      <w:r>
        <w:rPr>
          <w:rFonts w:hint="eastAsia" w:ascii="仿宋_GB2312" w:hAnsi="仿宋_GB2312" w:eastAsia="仿宋_GB2312" w:cs="仿宋_GB2312"/>
          <w:sz w:val="32"/>
          <w:szCs w:val="32"/>
          <w:lang w:eastAsia="zh-CN"/>
        </w:rPr>
        <w:t>相关专业人员</w:t>
      </w:r>
      <w:r>
        <w:rPr>
          <w:rFonts w:hint="eastAsia" w:ascii="仿宋_GB2312" w:hAnsi="仿宋_GB2312" w:eastAsia="仿宋_GB2312" w:cs="仿宋_GB2312"/>
          <w:sz w:val="32"/>
          <w:szCs w:val="32"/>
        </w:rPr>
        <w:t>参</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验收，或</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委托第三方</w:t>
      </w:r>
      <w:r>
        <w:rPr>
          <w:rFonts w:hint="eastAsia" w:ascii="仿宋_GB2312" w:hAnsi="仿宋_GB2312" w:eastAsia="仿宋_GB2312" w:cs="仿宋_GB2312"/>
          <w:sz w:val="32"/>
          <w:szCs w:val="32"/>
          <w:lang w:eastAsia="zh-CN"/>
        </w:rPr>
        <w:t>专业</w:t>
      </w:r>
      <w:r>
        <w:rPr>
          <w:rFonts w:hint="eastAsia" w:ascii="仿宋_GB2312" w:hAnsi="仿宋_GB2312" w:eastAsia="仿宋_GB2312" w:cs="仿宋_GB2312"/>
          <w:sz w:val="32"/>
          <w:szCs w:val="32"/>
        </w:rPr>
        <w:t>机构进行验收。政府向社会公众提供的公共服务项目，应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征集</w:t>
      </w:r>
      <w:r>
        <w:rPr>
          <w:rFonts w:hint="eastAsia" w:ascii="仿宋_GB2312" w:hAnsi="仿宋_GB2312" w:eastAsia="仿宋_GB2312" w:cs="仿宋_GB2312"/>
          <w:sz w:val="32"/>
          <w:szCs w:val="32"/>
          <w:lang w:eastAsia="zh-CN"/>
        </w:rPr>
        <w:t>服务对象</w:t>
      </w:r>
      <w:r>
        <w:rPr>
          <w:rFonts w:hint="eastAsia" w:ascii="仿宋_GB2312" w:hAnsi="仿宋_GB2312" w:eastAsia="仿宋_GB2312" w:cs="仿宋_GB2312"/>
          <w:sz w:val="32"/>
          <w:szCs w:val="32"/>
        </w:rPr>
        <w:t>对服务内容、服务质量和服务水平的评价，并邀请</w:t>
      </w:r>
      <w:r>
        <w:rPr>
          <w:rFonts w:hint="eastAsia" w:ascii="仿宋_GB2312" w:hAnsi="仿宋_GB2312" w:eastAsia="仿宋_GB2312" w:cs="仿宋_GB2312"/>
          <w:sz w:val="32"/>
          <w:szCs w:val="32"/>
          <w:lang w:eastAsia="zh-CN"/>
        </w:rPr>
        <w:t>部分</w:t>
      </w:r>
      <w:r>
        <w:rPr>
          <w:rFonts w:hint="eastAsia" w:ascii="仿宋_GB2312" w:hAnsi="仿宋_GB2312" w:eastAsia="仿宋_GB2312" w:cs="仿宋_GB2312"/>
          <w:sz w:val="32"/>
          <w:szCs w:val="32"/>
        </w:rPr>
        <w:t>服务对象参与验收。验收</w:t>
      </w:r>
      <w:r>
        <w:rPr>
          <w:rFonts w:hint="eastAsia" w:ascii="仿宋_GB2312" w:hAnsi="仿宋_GB2312" w:eastAsia="仿宋_GB2312" w:cs="仿宋_GB2312"/>
          <w:sz w:val="32"/>
          <w:szCs w:val="32"/>
          <w:lang w:eastAsia="zh-CN"/>
        </w:rPr>
        <w:t>结束</w:t>
      </w:r>
      <w:r>
        <w:rPr>
          <w:rFonts w:hint="eastAsia" w:ascii="仿宋_GB2312" w:hAnsi="仿宋_GB2312" w:eastAsia="仿宋_GB2312" w:cs="仿宋_GB2312"/>
          <w:sz w:val="32"/>
          <w:szCs w:val="32"/>
        </w:rPr>
        <w:t>后</w:t>
      </w:r>
      <w:r>
        <w:rPr>
          <w:rFonts w:hint="eastAsia" w:ascii="仿宋_GB2312" w:hAnsi="仿宋_GB2312" w:eastAsia="仿宋_GB2312" w:cs="仿宋_GB2312"/>
          <w:sz w:val="32"/>
          <w:szCs w:val="32"/>
          <w:lang w:eastAsia="zh-CN"/>
        </w:rPr>
        <w:t>，验收小组</w:t>
      </w:r>
      <w:r>
        <w:rPr>
          <w:rFonts w:hint="eastAsia" w:ascii="仿宋_GB2312" w:hAnsi="仿宋_GB2312" w:eastAsia="仿宋_GB2312" w:cs="仿宋_GB2312"/>
          <w:sz w:val="32"/>
          <w:szCs w:val="32"/>
        </w:rPr>
        <w:t>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出具验收书，验收书应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包括每一项技术、服务、安全等标准的履约情况。公共服务项目的验收结果应当在</w:t>
      </w:r>
      <w:r>
        <w:rPr>
          <w:rFonts w:hint="eastAsia" w:ascii="仿宋_GB2312" w:hAnsi="仿宋_GB2312" w:eastAsia="仿宋_GB2312" w:cs="仿宋_GB2312"/>
          <w:b w:val="0"/>
          <w:bCs w:val="0"/>
          <w:color w:val="auto"/>
          <w:sz w:val="32"/>
          <w:szCs w:val="32"/>
          <w:lang w:val="en-US" w:eastAsia="zh-CN"/>
        </w:rPr>
        <w:t>浙江政府采购网（浙江政府购买服务信息平台）</w:t>
      </w:r>
      <w:r>
        <w:rPr>
          <w:rFonts w:hint="eastAsia" w:ascii="仿宋_GB2312" w:hAnsi="仿宋_GB2312" w:eastAsia="仿宋_GB2312" w:cs="仿宋_GB2312"/>
          <w:sz w:val="32"/>
          <w:szCs w:val="32"/>
        </w:rPr>
        <w:t>等媒体上向社会公告。</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624"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购买主体应当</w:t>
      </w:r>
      <w:r>
        <w:rPr>
          <w:rFonts w:hint="eastAsia" w:ascii="仿宋_GB2312" w:hAnsi="仿宋_GB2312" w:eastAsia="仿宋_GB2312" w:cs="仿宋_GB2312"/>
          <w:color w:val="auto"/>
          <w:sz w:val="32"/>
          <w:szCs w:val="32"/>
        </w:rPr>
        <w:t>加强政府购买服务项目绩效管理。购买主体应当对本部门、本单位实施的政府购买服务项目实施全过程绩效管理</w:t>
      </w:r>
      <w:r>
        <w:rPr>
          <w:rFonts w:hint="eastAsia" w:ascii="仿宋_GB2312" w:hAnsi="仿宋_GB2312" w:eastAsia="仿宋_GB2312" w:cs="仿宋_GB2312"/>
          <w:color w:val="auto"/>
          <w:sz w:val="32"/>
          <w:szCs w:val="32"/>
          <w:lang w:eastAsia="zh-CN"/>
        </w:rPr>
        <w:t>。项目实施</w:t>
      </w:r>
      <w:r>
        <w:rPr>
          <w:rFonts w:hint="eastAsia" w:ascii="仿宋_GB2312" w:hAnsi="仿宋_GB2312" w:eastAsia="仿宋_GB2312" w:cs="仿宋_GB2312"/>
          <w:color w:val="auto"/>
          <w:sz w:val="32"/>
          <w:szCs w:val="32"/>
        </w:rPr>
        <w:t>前应</w:t>
      </w:r>
      <w:r>
        <w:rPr>
          <w:rFonts w:hint="eastAsia" w:ascii="仿宋_GB2312" w:hAnsi="仿宋_GB2312" w:eastAsia="仿宋_GB2312" w:cs="仿宋_GB2312"/>
          <w:color w:val="auto"/>
          <w:sz w:val="32"/>
          <w:szCs w:val="32"/>
          <w:lang w:eastAsia="zh-CN"/>
        </w:rPr>
        <w:t>当</w:t>
      </w:r>
      <w:r>
        <w:rPr>
          <w:rFonts w:hint="eastAsia" w:ascii="仿宋_GB2312" w:hAnsi="仿宋_GB2312" w:eastAsia="仿宋_GB2312" w:cs="仿宋_GB2312"/>
          <w:color w:val="auto"/>
          <w:sz w:val="32"/>
          <w:szCs w:val="32"/>
        </w:rPr>
        <w:t>实行绩效目标</w:t>
      </w:r>
      <w:r>
        <w:rPr>
          <w:rFonts w:hint="eastAsia" w:ascii="仿宋_GB2312" w:hAnsi="仿宋_GB2312" w:eastAsia="仿宋_GB2312" w:cs="仿宋_GB2312"/>
          <w:color w:val="auto"/>
          <w:sz w:val="32"/>
          <w:szCs w:val="32"/>
          <w:lang w:eastAsia="zh-CN"/>
        </w:rPr>
        <w:t>评估</w:t>
      </w:r>
      <w:r>
        <w:rPr>
          <w:rFonts w:hint="eastAsia" w:ascii="仿宋_GB2312" w:hAnsi="仿宋_GB2312" w:eastAsia="仿宋_GB2312" w:cs="仿宋_GB2312"/>
          <w:color w:val="auto"/>
          <w:sz w:val="32"/>
          <w:szCs w:val="32"/>
        </w:rPr>
        <w:t>，项目实施过程中应</w:t>
      </w:r>
      <w:r>
        <w:rPr>
          <w:rFonts w:hint="eastAsia" w:ascii="仿宋_GB2312" w:hAnsi="仿宋_GB2312" w:eastAsia="仿宋_GB2312" w:cs="仿宋_GB2312"/>
          <w:color w:val="auto"/>
          <w:sz w:val="32"/>
          <w:szCs w:val="32"/>
          <w:lang w:eastAsia="zh-CN"/>
        </w:rPr>
        <w:t>当</w:t>
      </w:r>
      <w:r>
        <w:rPr>
          <w:rFonts w:hint="eastAsia" w:ascii="仿宋_GB2312" w:hAnsi="仿宋_GB2312" w:eastAsia="仿宋_GB2312" w:cs="仿宋_GB2312"/>
          <w:color w:val="auto"/>
          <w:sz w:val="32"/>
          <w:szCs w:val="32"/>
        </w:rPr>
        <w:t>开展绩效跟踪监控，项目完成后应</w:t>
      </w:r>
      <w:r>
        <w:rPr>
          <w:rFonts w:hint="eastAsia" w:ascii="仿宋_GB2312" w:hAnsi="仿宋_GB2312" w:eastAsia="仿宋_GB2312" w:cs="仿宋_GB2312"/>
          <w:color w:val="auto"/>
          <w:sz w:val="32"/>
          <w:szCs w:val="32"/>
          <w:lang w:eastAsia="zh-CN"/>
        </w:rPr>
        <w:t>当</w:t>
      </w:r>
      <w:r>
        <w:rPr>
          <w:rFonts w:hint="eastAsia" w:ascii="仿宋_GB2312" w:hAnsi="仿宋_GB2312" w:eastAsia="仿宋_GB2312" w:cs="仿宋_GB2312"/>
          <w:color w:val="auto"/>
          <w:sz w:val="32"/>
          <w:szCs w:val="32"/>
        </w:rPr>
        <w:t>实施绩效评价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重大项目可</w:t>
      </w:r>
      <w:r>
        <w:rPr>
          <w:rFonts w:hint="eastAsia" w:ascii="仿宋_GB2312" w:hAnsi="仿宋_GB2312" w:eastAsia="仿宋_GB2312" w:cs="仿宋_GB2312"/>
          <w:color w:val="auto"/>
          <w:sz w:val="32"/>
          <w:szCs w:val="32"/>
          <w:lang w:eastAsia="zh-CN"/>
        </w:rPr>
        <w:t>以</w:t>
      </w:r>
      <w:r>
        <w:rPr>
          <w:rFonts w:hint="eastAsia" w:ascii="仿宋_GB2312" w:hAnsi="仿宋_GB2312" w:eastAsia="仿宋_GB2312" w:cs="仿宋_GB2312"/>
          <w:color w:val="auto"/>
          <w:sz w:val="32"/>
          <w:szCs w:val="32"/>
        </w:rPr>
        <w:t>委托第三方</w:t>
      </w:r>
      <w:r>
        <w:rPr>
          <w:rFonts w:hint="eastAsia" w:ascii="仿宋_GB2312" w:hAnsi="仿宋_GB2312" w:eastAsia="仿宋_GB2312" w:cs="仿宋_GB2312"/>
          <w:color w:val="auto"/>
          <w:sz w:val="32"/>
          <w:szCs w:val="32"/>
          <w:lang w:eastAsia="zh-CN"/>
        </w:rPr>
        <w:t>专业</w:t>
      </w:r>
      <w:r>
        <w:rPr>
          <w:rFonts w:hint="eastAsia" w:ascii="仿宋_GB2312" w:hAnsi="仿宋_GB2312" w:eastAsia="仿宋_GB2312" w:cs="仿宋_GB2312"/>
          <w:color w:val="auto"/>
          <w:sz w:val="32"/>
          <w:szCs w:val="32"/>
        </w:rPr>
        <w:t>机构开展重点</w:t>
      </w:r>
      <w:r>
        <w:rPr>
          <w:rFonts w:hint="eastAsia" w:ascii="仿宋_GB2312" w:hAnsi="仿宋_GB2312" w:eastAsia="仿宋_GB2312" w:cs="仿宋_GB2312"/>
          <w:color w:val="auto"/>
          <w:sz w:val="32"/>
          <w:szCs w:val="32"/>
          <w:lang w:eastAsia="zh-CN"/>
        </w:rPr>
        <w:t>评估</w:t>
      </w:r>
      <w:r>
        <w:rPr>
          <w:rFonts w:hint="eastAsia" w:ascii="仿宋_GB2312" w:hAnsi="仿宋_GB2312" w:eastAsia="仿宋_GB2312" w:cs="仿宋_GB2312"/>
          <w:color w:val="auto"/>
          <w:sz w:val="32"/>
          <w:szCs w:val="32"/>
        </w:rPr>
        <w:t>评价。财政部门</w:t>
      </w:r>
      <w:r>
        <w:rPr>
          <w:rFonts w:hint="eastAsia" w:ascii="仿宋_GB2312" w:hAnsi="仿宋_GB2312" w:eastAsia="仿宋_GB2312" w:cs="仿宋_GB2312"/>
          <w:color w:val="auto"/>
          <w:sz w:val="32"/>
          <w:szCs w:val="32"/>
          <w:lang w:eastAsia="zh-CN"/>
        </w:rPr>
        <w:t>可以根据</w:t>
      </w:r>
      <w:r>
        <w:rPr>
          <w:rFonts w:hint="eastAsia" w:ascii="仿宋_GB2312" w:hAnsi="仿宋_GB2312" w:eastAsia="仿宋_GB2312" w:cs="仿宋_GB2312"/>
          <w:color w:val="auto"/>
          <w:sz w:val="32"/>
          <w:szCs w:val="32"/>
        </w:rPr>
        <w:t>需要，对重大公共服务项目</w:t>
      </w:r>
      <w:r>
        <w:rPr>
          <w:rFonts w:hint="eastAsia" w:ascii="仿宋_GB2312" w:hAnsi="仿宋_GB2312" w:eastAsia="仿宋_GB2312" w:cs="仿宋_GB2312"/>
          <w:color w:val="auto"/>
          <w:sz w:val="32"/>
          <w:szCs w:val="32"/>
          <w:lang w:eastAsia="zh-CN"/>
        </w:rPr>
        <w:t>或者</w:t>
      </w:r>
      <w:r>
        <w:rPr>
          <w:rFonts w:hint="eastAsia" w:ascii="仿宋_GB2312" w:hAnsi="仿宋_GB2312" w:eastAsia="仿宋_GB2312" w:cs="仿宋_GB2312"/>
          <w:color w:val="auto"/>
          <w:sz w:val="32"/>
          <w:szCs w:val="32"/>
          <w:lang w:val="en-US" w:eastAsia="zh-CN"/>
        </w:rPr>
        <w:t>社会影响</w:t>
      </w:r>
      <w:r>
        <w:rPr>
          <w:rFonts w:hint="eastAsia" w:ascii="仿宋_GB2312" w:hAnsi="仿宋_GB2312" w:eastAsia="仿宋_GB2312" w:cs="仿宋_GB2312"/>
          <w:color w:val="auto"/>
          <w:sz w:val="32"/>
          <w:szCs w:val="32"/>
        </w:rPr>
        <w:t>大的政府购买服务项目，组织开展重点绩效评价。绩效评价指标包含项目的经济性、效率性和效益性。</w:t>
      </w:r>
      <w:r>
        <w:rPr>
          <w:rFonts w:hint="eastAsia" w:ascii="仿宋_GB2312" w:hAnsi="仿宋_GB2312" w:eastAsia="仿宋_GB2312" w:cs="仿宋_GB2312"/>
          <w:color w:val="auto"/>
          <w:sz w:val="32"/>
          <w:szCs w:val="32"/>
          <w:lang w:eastAsia="zh-CN"/>
        </w:rPr>
        <w:t>购买主体及财政部门应当将绩效</w:t>
      </w:r>
      <w:r>
        <w:rPr>
          <w:rFonts w:hint="eastAsia" w:ascii="仿宋_GB2312" w:hAnsi="仿宋_GB2312" w:eastAsia="仿宋_GB2312" w:cs="仿宋_GB2312"/>
          <w:color w:val="auto"/>
          <w:sz w:val="32"/>
          <w:szCs w:val="32"/>
        </w:rPr>
        <w:t>评价结果作为承接主体选择、预算安排和政策调整的重要依据。</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624"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、本通知自2021年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月1日起执行。《</w:t>
      </w:r>
      <w:r>
        <w:rPr>
          <w:rFonts w:hint="eastAsia" w:ascii="仿宋_GB2312" w:hAnsi="仿宋_GB2312" w:eastAsia="仿宋_GB2312" w:cs="仿宋_GB2312"/>
          <w:sz w:val="32"/>
          <w:szCs w:val="32"/>
          <w:lang w:eastAsia="zh-CN"/>
        </w:rPr>
        <w:t>浙江省财政厅关于印发</w:t>
      </w:r>
      <w:r>
        <w:rPr>
          <w:rFonts w:hint="eastAsia" w:ascii="仿宋_GB2312" w:hAnsi="仿宋_GB2312" w:eastAsia="仿宋_GB2312" w:cs="仿宋_GB2312"/>
          <w:sz w:val="32"/>
          <w:szCs w:val="32"/>
        </w:rPr>
        <w:t>浙江省政府购买服务采购管理暂行办法</w:t>
      </w:r>
      <w:r>
        <w:rPr>
          <w:rFonts w:hint="eastAsia" w:ascii="仿宋_GB2312" w:hAnsi="仿宋_GB2312" w:eastAsia="仿宋_GB2312" w:cs="仿宋_GB2312"/>
          <w:sz w:val="32"/>
          <w:szCs w:val="32"/>
          <w:lang w:eastAsia="zh-CN"/>
        </w:rPr>
        <w:t>的通知</w:t>
      </w:r>
      <w:r>
        <w:rPr>
          <w:rFonts w:hint="eastAsia" w:ascii="仿宋_GB2312" w:hAnsi="仿宋_GB2312" w:eastAsia="仿宋_GB2312" w:cs="仿宋_GB2312"/>
          <w:sz w:val="32"/>
          <w:szCs w:val="32"/>
        </w:rPr>
        <w:t>》（浙财采监〔2014〕28号）同时废止。</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right="0" w:rightChars="0" w:firstLine="624"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520" w:lineRule="exact"/>
        <w:ind w:right="0" w:rightChars="0" w:firstLine="63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pacing w:line="520" w:lineRule="exact"/>
        <w:ind w:right="0" w:rightChars="0"/>
        <w:textAlignment w:val="auto"/>
        <w:rPr>
          <w:rFonts w:hint="eastAsia" w:ascii="仿宋_GB2312" w:eastAsia="仿宋_GB2312"/>
          <w:sz w:val="32"/>
          <w:szCs w:val="32"/>
        </w:rPr>
      </w:pPr>
    </w:p>
    <w:p>
      <w:pPr>
        <w:keepNext w:val="0"/>
        <w:keepLines w:val="0"/>
        <w:pageBreakBefore w:val="0"/>
        <w:widowControl w:val="0"/>
        <w:tabs>
          <w:tab w:val="left" w:pos="4554"/>
        </w:tabs>
        <w:kinsoku/>
        <w:wordWrap w:val="0"/>
        <w:overflowPunct/>
        <w:topLinePunct w:val="0"/>
        <w:autoSpaceDE/>
        <w:autoSpaceDN/>
        <w:bidi w:val="0"/>
        <w:adjustRightInd/>
        <w:spacing w:line="520" w:lineRule="exact"/>
        <w:ind w:right="0" w:rightChars="0"/>
        <w:jc w:val="right"/>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浙江省财政厅</w:t>
      </w: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line="520" w:lineRule="exact"/>
        <w:ind w:left="3030" w:leftChars="1500" w:right="0" w:rightChars="0"/>
        <w:jc w:val="center"/>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2021</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14</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pacing w:line="520" w:lineRule="exact"/>
        <w:ind w:left="0" w:leftChars="0" w:right="0" w:rightChars="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（此件公开发布）</w:t>
      </w:r>
    </w:p>
    <w:p>
      <w:pPr>
        <w:keepNext w:val="0"/>
        <w:keepLines w:val="0"/>
        <w:pageBreakBefore w:val="0"/>
        <w:widowControl w:val="0"/>
        <w:kinsoku/>
        <w:wordWrap/>
        <w:overflowPunct/>
        <w:topLinePunct w:val="0"/>
        <w:autoSpaceDE/>
        <w:autoSpaceDN/>
        <w:bidi w:val="0"/>
        <w:adjustRightInd/>
        <w:spacing w:beforeLines="0" w:afterLines="0" w:line="540" w:lineRule="exact"/>
        <w:ind w:right="0" w:rightChars="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pacing w:beforeLines="0" w:afterLines="0" w:line="560" w:lineRule="exact"/>
        <w:ind w:right="0" w:rightChars="0"/>
        <w:textAlignment w:val="auto"/>
        <w:rPr>
          <w:rFonts w:hint="eastAsia" w:ascii="仿宋_GB2312" w:eastAsia="仿宋_GB2312"/>
          <w:sz w:val="32"/>
          <w:szCs w:val="32"/>
          <w:lang w:val="en-US" w:eastAsia="zh-CN"/>
        </w:rPr>
      </w:pPr>
    </w:p>
    <w:tbl>
      <w:tblPr>
        <w:tblStyle w:val="5"/>
        <w:tblW w:w="0" w:type="auto"/>
        <w:tblInd w:w="130" w:type="dxa"/>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left w:w="108" w:type="dxa"/>
          <w:right w:w="108" w:type="dxa"/>
        </w:tblCellMar>
      </w:tblPr>
      <w:tblGrid>
        <w:gridCol w:w="8931"/>
      </w:tblGrid>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CellMar>
            <w:left w:w="108" w:type="dxa"/>
            <w:right w:w="108" w:type="dxa"/>
          </w:tblCellMar>
        </w:tblPrEx>
        <w:trPr>
          <w:trHeight w:val="680" w:hRule="atLeast"/>
        </w:trPr>
        <w:tc>
          <w:tcPr>
            <w:tcW w:w="8931" w:type="dxa"/>
            <w:tcBorders>
              <w:tl2br w:val="nil"/>
              <w:tr2bl w:val="nil"/>
            </w:tcBorders>
            <w:noWrap w:val="0"/>
            <w:vAlign w:val="top"/>
          </w:tcPr>
          <w:p>
            <w:pPr>
              <w:spacing w:line="560" w:lineRule="exact"/>
              <w:rPr>
                <w:rFonts w:hint="eastAsia" w:ascii="仿宋_GB2312" w:eastAsia="仿宋_GB2312"/>
                <w:sz w:val="30"/>
                <w:vertAlign w:val="baseline"/>
              </w:rPr>
            </w:pPr>
            <w:r>
              <w:rPr>
                <w:rFonts w:hint="eastAsia" w:ascii="仿宋_GB2312" w:eastAsia="仿宋_GB2312"/>
                <w:sz w:val="28"/>
                <w:szCs w:val="28"/>
                <w:lang w:val="en-US" w:eastAsia="zh-CN"/>
              </w:rPr>
              <w:t xml:space="preserve"> </w:t>
            </w:r>
            <w:r>
              <w:rPr>
                <w:rFonts w:hint="eastAsia" w:ascii="仿宋_GB2312" w:eastAsia="仿宋_GB2312"/>
                <w:sz w:val="28"/>
                <w:szCs w:val="28"/>
                <w:vertAlign w:val="baseline"/>
                <w:lang w:val="en-US" w:eastAsia="zh-CN"/>
              </w:rPr>
              <w:t xml:space="preserve"> </w:t>
            </w:r>
            <w:bookmarkStart w:id="4" w:name="printUnit"/>
            <w:r>
              <w:rPr>
                <w:rFonts w:hint="eastAsia" w:ascii="仿宋_GB2312" w:eastAsia="仿宋_GB2312"/>
                <w:sz w:val="28"/>
                <w:szCs w:val="28"/>
              </w:rPr>
              <w:t>浙江省财政厅办公室</w:t>
            </w:r>
            <w:bookmarkEnd w:id="4"/>
            <w:r>
              <w:rPr>
                <w:rFonts w:hint="eastAsia" w:ascii="仿宋_GB2312" w:eastAsia="仿宋_GB2312"/>
                <w:sz w:val="28"/>
                <w:szCs w:val="28"/>
              </w:rPr>
              <w:t xml:space="preserve">                       </w:t>
            </w:r>
            <w:r>
              <w:rPr>
                <w:rFonts w:hint="eastAsia" w:ascii="仿宋_GB2312" w:eastAsia="仿宋_GB2312"/>
                <w:sz w:val="28"/>
                <w:szCs w:val="28"/>
                <w:lang w:val="en-US" w:eastAsia="zh-CN"/>
              </w:rPr>
              <w:t>2021</w:t>
            </w:r>
            <w:r>
              <w:rPr>
                <w:rFonts w:hint="eastAsia" w:ascii="仿宋_GB2312" w:eastAsia="仿宋_GB2312"/>
                <w:sz w:val="28"/>
                <w:szCs w:val="28"/>
              </w:rPr>
              <w:t>年</w:t>
            </w:r>
            <w:r>
              <w:rPr>
                <w:rFonts w:hint="eastAsia" w:ascii="仿宋_GB2312" w:eastAsia="仿宋_GB2312"/>
                <w:sz w:val="28"/>
                <w:szCs w:val="28"/>
                <w:lang w:val="en-US" w:eastAsia="zh-CN"/>
              </w:rPr>
              <w:t>1</w:t>
            </w:r>
            <w:r>
              <w:rPr>
                <w:rFonts w:hint="eastAsia" w:ascii="仿宋_GB2312" w:eastAsia="仿宋_GB2312"/>
                <w:sz w:val="28"/>
                <w:szCs w:val="28"/>
              </w:rPr>
              <w:t>月</w:t>
            </w:r>
            <w:r>
              <w:rPr>
                <w:rFonts w:hint="eastAsia" w:ascii="仿宋_GB2312" w:eastAsia="仿宋_GB2312"/>
                <w:sz w:val="28"/>
                <w:szCs w:val="28"/>
                <w:lang w:val="en-US" w:eastAsia="zh-CN"/>
              </w:rPr>
              <w:t>15</w:t>
            </w:r>
            <w:r>
              <w:rPr>
                <w:rFonts w:hint="eastAsia" w:ascii="仿宋_GB2312" w:eastAsia="仿宋_GB2312"/>
                <w:sz w:val="28"/>
                <w:szCs w:val="28"/>
              </w:rPr>
              <w:t>日印</w:t>
            </w:r>
            <w:r>
              <w:rPr>
                <w:rFonts w:hint="eastAsia" w:ascii="仿宋_GB2312" w:eastAsia="仿宋_GB2312"/>
                <w:sz w:val="28"/>
                <w:szCs w:val="28"/>
                <w:lang w:val="en-US" w:eastAsia="zh-CN"/>
              </w:rPr>
              <w:t>发</w:t>
            </w:r>
          </w:p>
        </w:tc>
      </w:tr>
    </w:tbl>
    <w:p>
      <w:pPr>
        <w:snapToGrid/>
        <w:spacing w:beforeLines="0" w:afterLines="0" w:line="20" w:lineRule="exact"/>
        <w:jc w:val="left"/>
        <w:rPr>
          <w:rFonts w:hint="eastAsia"/>
          <w:kern w:val="2"/>
          <w:sz w:val="21"/>
          <w:szCs w:val="24"/>
          <w:lang w:val="en-US" w:eastAsia="zh-CN" w:bidi="ar-SA"/>
        </w:rPr>
      </w:pPr>
    </w:p>
    <w:sectPr>
      <w:headerReference r:id="rId3" w:type="default"/>
      <w:footerReference r:id="rId4" w:type="default"/>
      <w:footerReference r:id="rId5" w:type="even"/>
      <w:pgSz w:w="11906" w:h="16838"/>
      <w:pgMar w:top="2098" w:right="1474" w:bottom="1985" w:left="1588" w:header="851" w:footer="1588" w:gutter="0"/>
      <w:pgBorders w:offsetFrom="page">
        <w:top w:val="none" w:sz="0" w:space="0"/>
        <w:left w:val="none" w:sz="0" w:space="0"/>
        <w:bottom w:val="none" w:sz="0" w:space="0"/>
        <w:right w:val="none" w:sz="0" w:space="0"/>
      </w:pgBorders>
      <w:cols w:space="720" w:num="1"/>
      <w:docGrid w:type="linesAndChars" w:linePitch="60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黑体">
    <w:altName w:val="方正黑体_GBK"/>
    <w:panose1 w:val="02010609060101010101"/>
    <w:charset w:val="00"/>
    <w:family w:val="auto"/>
    <w:pitch w:val="default"/>
    <w:sig w:usb0="800002BF" w:usb1="38CF7CFA" w:usb2="00000016" w:usb3="00000000" w:csb0="00040001" w:csb1="00000000"/>
  </w:font>
  <w:font w:name="Helvetica">
    <w:altName w:val="汉仪新人文宋简"/>
    <w:panose1 w:val="00000000000000000000"/>
    <w:charset w:val="00"/>
    <w:family w:val="swiss"/>
    <w:pitch w:val="default"/>
    <w:sig w:usb0="00000000" w:usb1="00000000" w:usb2="00000000" w:usb3="00000000" w:csb0="00040001" w:csb1="00000000"/>
  </w:font>
  <w:font w:name="仿宋">
    <w:altName w:val="方正仿宋_GBK"/>
    <w:panose1 w:val="02010609060101010101"/>
    <w:charset w:val="00"/>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00"/>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622" w:wrap="around" w:vAnchor="text" w:hAnchor="margin" w:xAlign="outside" w:y="1"/>
      <w:ind w:firstLine="280" w:firstLineChars="100"/>
      <w:rPr>
        <w:rStyle w:val="7"/>
        <w:rFonts w:hint="eastAsia" w:ascii="宋体" w:hAnsi="宋体" w:eastAsia="宋体" w:cs="宋体"/>
        <w:sz w:val="28"/>
      </w:rPr>
    </w:pPr>
    <w:r>
      <w:rPr>
        <w:rStyle w:val="7"/>
        <w:rFonts w:hint="eastAsia" w:ascii="宋体" w:hAnsi="宋体" w:eastAsia="宋体" w:cs="宋体"/>
        <w:sz w:val="28"/>
      </w:rPr>
      <w:t xml:space="preserve">— </w:t>
    </w:r>
    <w:r>
      <w:rPr>
        <w:rFonts w:hint="eastAsia" w:ascii="宋体" w:hAnsi="宋体" w:eastAsia="宋体" w:cs="宋体"/>
        <w:sz w:val="28"/>
      </w:rPr>
      <w:fldChar w:fldCharType="begin"/>
    </w:r>
    <w:r>
      <w:rPr>
        <w:rStyle w:val="7"/>
        <w:rFonts w:hint="eastAsia" w:ascii="宋体" w:hAnsi="宋体" w:eastAsia="宋体" w:cs="宋体"/>
        <w:sz w:val="28"/>
      </w:rPr>
      <w:instrText xml:space="preserve"> PAGE </w:instrText>
    </w:r>
    <w:r>
      <w:rPr>
        <w:rFonts w:hint="eastAsia" w:ascii="宋体" w:hAnsi="宋体" w:eastAsia="宋体" w:cs="宋体"/>
        <w:sz w:val="28"/>
      </w:rPr>
      <w:fldChar w:fldCharType="separate"/>
    </w:r>
    <w:r>
      <w:rPr>
        <w:rStyle w:val="7"/>
        <w:rFonts w:hint="eastAsia" w:ascii="宋体" w:hAnsi="宋体" w:eastAsia="宋体" w:cs="宋体"/>
        <w:sz w:val="28"/>
        <w:lang/>
      </w:rPr>
      <w:t>1</w:t>
    </w:r>
    <w:r>
      <w:rPr>
        <w:rFonts w:hint="eastAsia" w:ascii="宋体" w:hAnsi="宋体" w:eastAsia="宋体" w:cs="宋体"/>
        <w:sz w:val="28"/>
      </w:rPr>
      <w:fldChar w:fldCharType="end"/>
    </w:r>
    <w:r>
      <w:rPr>
        <w:rStyle w:val="7"/>
        <w:rFonts w:hint="eastAsia" w:ascii="宋体" w:hAnsi="宋体" w:eastAsia="宋体" w:cs="宋体"/>
        <w:sz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fwzh"/>
    <w:docVar w:name="CurUserName" w:val="李斐"/>
    <w:docVar w:name="DeleteMarces" w:val="False"/>
    <w:docVar w:name="DocName" w:val="E9707F450A778EC148257E53000B526B.doc"/>
    <w:docVar w:name="haha" w:val="100"/>
    <w:docVar w:name="NewInfo" w:val="〔2015〕76&amp;;&amp;浙财企&amp;;&amp;浙财企〔2015〕76"/>
    <w:docVar w:name="OldInfo" w:val=" "/>
    <w:docVar w:name="SplitTool" w:val="False"/>
    <w:docVar w:name="TitleStr" w:val="浙江省财政厅;文件;浙江省农业厅"/>
    <w:docVar w:name="TrackMark" w:val="1"/>
  </w:docVars>
  <w:rsids>
    <w:rsidRoot w:val="00172A27"/>
    <w:rsid w:val="078F6C00"/>
    <w:rsid w:val="0C3A06D3"/>
    <w:rsid w:val="14FB2A67"/>
    <w:rsid w:val="178B5464"/>
    <w:rsid w:val="31F223FA"/>
    <w:rsid w:val="3A94281F"/>
    <w:rsid w:val="42123E77"/>
    <w:rsid w:val="488A5C60"/>
    <w:rsid w:val="55FE72A3"/>
    <w:rsid w:val="6EE45EB5"/>
    <w:rsid w:val="EAFFEF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rFonts w:eastAsia="黑体"/>
      <w:snapToGrid w:val="0"/>
      <w:kern w:val="0"/>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paragraph" w:customStyle="1" w:styleId="8">
    <w:name w:val="f1"/>
    <w:basedOn w:val="1"/>
    <w:uiPriority w:val="0"/>
    <w:pPr>
      <w:widowControl/>
      <w:spacing w:before="100" w:beforeLines="0" w:beforeAutospacing="1" w:after="100" w:afterLines="0" w:afterAutospacing="1"/>
      <w:jc w:val="center"/>
    </w:pPr>
    <w:rPr>
      <w:rFonts w:ascii="Helvetica" w:hAnsi="Helvetica" w:cs="Helvetica"/>
      <w:b/>
      <w:bCs/>
      <w:color w:val="FF8080"/>
      <w:spacing w:val="160"/>
      <w:kern w:val="0"/>
      <w:sz w:val="80"/>
      <w:szCs w:val="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青鸟杭办</Company>
  <Pages>1</Pages>
  <Words>153</Words>
  <Characters>877</Characters>
  <Lines>7</Lines>
  <Paragraphs>2</Paragraphs>
  <TotalTime>6</TotalTime>
  <ScaleCrop>false</ScaleCrop>
  <LinksUpToDate>false</LinksUpToDate>
  <CharactersWithSpaces>1028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2015-06-06T01:05:00Z</dcterms:created>
  <dc:creator>黄旭明</dc:creator>
  <cp:lastModifiedBy>user</cp:lastModifiedBy>
  <cp:lastPrinted>2021-01-18T09:15:20Z</cp:lastPrinted>
  <dcterms:modified xsi:type="dcterms:W3CDTF">2021-05-21T09:00:48Z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