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Arial" w:hAnsi="Arial" w:eastAsia="黑体" w:cs="Times New Roman"/>
          <w:b/>
          <w:kern w:val="2"/>
          <w:sz w:val="36"/>
          <w:szCs w:val="36"/>
          <w:lang w:val="en-US" w:eastAsia="zh-CN"/>
        </w:rPr>
      </w:pPr>
      <w:r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  <w:t>考试疫情防控</w:t>
      </w:r>
      <w:r>
        <w:rPr>
          <w:rFonts w:hint="default" w:ascii="Arial" w:hAnsi="Arial" w:eastAsia="黑体" w:cs="Times New Roman"/>
          <w:b/>
          <w:kern w:val="2"/>
          <w:sz w:val="36"/>
          <w:szCs w:val="36"/>
          <w:lang w:val="en-US" w:eastAsia="zh-CN"/>
        </w:rPr>
        <w:t>常见问题</w:t>
      </w:r>
      <w:r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  <w:t>解答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1、考生如何了解参加考试的最新防疫要求？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答：可以通过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浙江会计之家（官方网站：）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通知公告栏查看《2021年会计专业技术中级资格考试浙江考区疫情防控要求考生告知书》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并留意在网上报名时预留的手机号接收到的考试提示短信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、考生参加考试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应当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具备哪些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防疫基本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条件？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考试当天的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“浙江健康码”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、“通信大数据行程卡”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为绿码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（动态）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并经现场测量体温正常（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低于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37.3℃）的。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哪些考生需要出具48小时内核酸报告？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答：（1）按实际参加考试日计算，考前14天内从省外低风险地区来浙返浙的考生，除符合第2点全部条件外，还应当另行提供本人实际参加首科考试前48小时内核酸检测阴性证明；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考试当天的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行程卡虽为绿码但到访地右上角有*星号标记的考生，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如属于已满日常健康监测期结束管控者，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除符合第2点全部条件外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，应当另行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实际参加首科考试前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考生为已满出院后健康随访期的既往新冠肺炎确诊病例、既往无症状感染者，以及考前14天内有过发热、干咳、乏力、咽痛或腹泻等症状者，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除符合第2点全部条件外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，应当另行提供本人实际参加首科考试前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line="600" w:lineRule="exact"/>
        <w:ind w:left="0" w:firstLine="643" w:firstLineChars="2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哪些考生不得进入考点参加考试？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答：（1）考试当天的健康码为绿码（动态）、行程卡虽为绿码但到访地右上角有*星号标记的考生，属于日常健康监测期未满者，不得参加考试；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仍在隔离治疗期的新冠肺炎确诊病例、疑似病例或无症状感染者，考前21天内从国内中高风险地区来浙返浙者、考前28天内境外来浙返浙者、处于出院后健康随访期的病例，以及集中或居家隔离医学观察期、居家健康观察期、日常健康监测期未满者，均不得参加考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界定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中高风险地区的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考生参加每科考试前1天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的国家通报为准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）；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第2点全部条件或不符合第3点列举情形及条件者，以及不满足所报市级考区当地疫情防控要求者，不得参加考试。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、48小时内核酸报告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的具体要求？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（1）48小时界定：按考生实际参加考试时间计算，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从核酸采样时间起开始，到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参加考试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时，在48小时以内。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例如：9月4日上午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8:30-11: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参加中级会计实务科目考试的考生，需在9月2日8:30之后至该科考试前进行核酸采样，并携带阴性检测报告参加考试，其他时间以此类推。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（2）核酸报告的时间认定：以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核酸采样时间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为准，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非报告打印时间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、非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检测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出具报告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结果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（3）核酸报告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纸质版还是电子版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：须提前准备好纸质版和电子版，具体以考点入场时要求为准。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检测机构范围：凡国内具检测资质服务机构出具的核酸检测阴性报告或证明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均适用。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6、考生健康状况承诺书怎么准备？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准考证下载打印的版本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，根据考生实际参加考试科次打印并签字相应份数，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每一场考试都需提供一份纸质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《2021年会计专业技术中级资格考试浙江考区考生健康状况承诺书》，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在进入每科考试的考场时上交1份给监考人员。</w:t>
      </w:r>
    </w:p>
    <w:p>
      <w:pPr>
        <w:widowControl/>
        <w:ind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ind w:firstLine="0" w:firstLineChars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44" w:right="1644" w:bottom="1644" w:left="164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3A5B3"/>
    <w:multiLevelType w:val="singleLevel"/>
    <w:tmpl w:val="97B3A5B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42DC778"/>
    <w:multiLevelType w:val="singleLevel"/>
    <w:tmpl w:val="C42DC77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D6A27C50"/>
    <w:multiLevelType w:val="singleLevel"/>
    <w:tmpl w:val="D6A27C5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805E8"/>
    <w:rsid w:val="04A57DFE"/>
    <w:rsid w:val="04F27BE4"/>
    <w:rsid w:val="073E3667"/>
    <w:rsid w:val="07866EB4"/>
    <w:rsid w:val="08CA6F53"/>
    <w:rsid w:val="09C547E1"/>
    <w:rsid w:val="0B7C194C"/>
    <w:rsid w:val="0ECC5576"/>
    <w:rsid w:val="103256FD"/>
    <w:rsid w:val="1148629E"/>
    <w:rsid w:val="11824B65"/>
    <w:rsid w:val="12B7270D"/>
    <w:rsid w:val="12C447AA"/>
    <w:rsid w:val="13C452DC"/>
    <w:rsid w:val="14EC4E73"/>
    <w:rsid w:val="1BA37820"/>
    <w:rsid w:val="1CD2637C"/>
    <w:rsid w:val="1CE36C3C"/>
    <w:rsid w:val="1E4B182C"/>
    <w:rsid w:val="223E27A0"/>
    <w:rsid w:val="26D55FFA"/>
    <w:rsid w:val="28655202"/>
    <w:rsid w:val="2A4F072A"/>
    <w:rsid w:val="2D234C16"/>
    <w:rsid w:val="32BB2225"/>
    <w:rsid w:val="33B92FA8"/>
    <w:rsid w:val="35C65A26"/>
    <w:rsid w:val="36323FC7"/>
    <w:rsid w:val="37015420"/>
    <w:rsid w:val="379303D8"/>
    <w:rsid w:val="3C4F4915"/>
    <w:rsid w:val="3CE87462"/>
    <w:rsid w:val="3E615241"/>
    <w:rsid w:val="3E847E76"/>
    <w:rsid w:val="3F28479F"/>
    <w:rsid w:val="42E958FD"/>
    <w:rsid w:val="482B4001"/>
    <w:rsid w:val="490C59C4"/>
    <w:rsid w:val="4AE85BB8"/>
    <w:rsid w:val="4DC22128"/>
    <w:rsid w:val="52CF782F"/>
    <w:rsid w:val="55B27086"/>
    <w:rsid w:val="562423FF"/>
    <w:rsid w:val="563A6FB9"/>
    <w:rsid w:val="598E3813"/>
    <w:rsid w:val="5B451FCD"/>
    <w:rsid w:val="5B567558"/>
    <w:rsid w:val="5C922D78"/>
    <w:rsid w:val="5DA55D60"/>
    <w:rsid w:val="5F5B1077"/>
    <w:rsid w:val="682B6A19"/>
    <w:rsid w:val="68E761BD"/>
    <w:rsid w:val="6A5D1FD0"/>
    <w:rsid w:val="6AAC0614"/>
    <w:rsid w:val="6B2A4689"/>
    <w:rsid w:val="6C6B1AC9"/>
    <w:rsid w:val="6E643734"/>
    <w:rsid w:val="6FE943AE"/>
    <w:rsid w:val="70187FD3"/>
    <w:rsid w:val="706A5984"/>
    <w:rsid w:val="71643FD7"/>
    <w:rsid w:val="73721A7D"/>
    <w:rsid w:val="75A4077B"/>
    <w:rsid w:val="7A7F7A52"/>
    <w:rsid w:val="7DB93CDA"/>
    <w:rsid w:val="7E722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lenovo07</dc:creator>
  <cp:lastModifiedBy>lenovo</cp:lastModifiedBy>
  <dcterms:modified xsi:type="dcterms:W3CDTF">2021-08-20T10:26:36Z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