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210"/>
        </w:tabs>
        <w:jc w:val="left"/>
        <w:textAlignment w:val="center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tabs>
          <w:tab w:val="left" w:pos="3210"/>
        </w:tabs>
        <w:jc w:val="center"/>
        <w:textAlignment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嘉兴市2020年省供销社财政扶持资金分配表</w:t>
      </w:r>
    </w:p>
    <w:p>
      <w:pPr>
        <w:widowControl/>
        <w:tabs>
          <w:tab w:val="left" w:pos="3210"/>
        </w:tabs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1"/>
        <w:gridCol w:w="1455"/>
        <w:gridCol w:w="157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1" w:type="dxa"/>
          </w:tcPr>
          <w:p>
            <w:pPr>
              <w:widowControl/>
              <w:tabs>
                <w:tab w:val="left" w:pos="3210"/>
              </w:tabs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项目主体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实际投资（万元）</w:t>
            </w:r>
          </w:p>
        </w:tc>
        <w:tc>
          <w:tcPr>
            <w:tcW w:w="1575" w:type="dxa"/>
          </w:tcPr>
          <w:p>
            <w:pPr>
              <w:widowControl/>
              <w:tabs>
                <w:tab w:val="left" w:pos="3210"/>
              </w:tabs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实际投资额占比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拟补助金额（万元）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1" w:type="dxa"/>
          </w:tcPr>
          <w:p>
            <w:pPr>
              <w:widowControl/>
              <w:tabs>
                <w:tab w:val="left" w:pos="3210"/>
              </w:tabs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浙江金丰果品有限公司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57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46.62%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139.84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1" w:type="dxa"/>
          </w:tcPr>
          <w:p>
            <w:pPr>
              <w:widowControl/>
              <w:tabs>
                <w:tab w:val="left" w:pos="3210"/>
              </w:tabs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浙江江南大厦股份有限公司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57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31.54%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94.62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1" w:type="dxa"/>
          </w:tcPr>
          <w:p>
            <w:pPr>
              <w:widowControl/>
              <w:tabs>
                <w:tab w:val="left" w:pos="3210"/>
              </w:tabs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嘉兴市天天农展会有限公司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57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21.85%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1" w:type="dxa"/>
          </w:tcPr>
          <w:p>
            <w:pPr>
              <w:widowControl/>
              <w:tabs>
                <w:tab w:val="left" w:pos="3210"/>
              </w:tabs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650</w:t>
            </w:r>
          </w:p>
        </w:tc>
        <w:tc>
          <w:tcPr>
            <w:tcW w:w="157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455" w:type="dxa"/>
          </w:tcPr>
          <w:p>
            <w:pPr>
              <w:widowControl/>
              <w:tabs>
                <w:tab w:val="left" w:pos="3210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300</w:t>
            </w:r>
          </w:p>
        </w:tc>
      </w:tr>
    </w:tbl>
    <w:p>
      <w:pPr>
        <w:widowControl/>
        <w:tabs>
          <w:tab w:val="left" w:pos="3210"/>
        </w:tabs>
        <w:ind w:firstLine="640" w:firstLineChars="200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tabs>
          <w:tab w:val="left" w:pos="3210"/>
        </w:tabs>
        <w:ind w:firstLine="5120" w:firstLineChars="1600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C2A06"/>
    <w:rsid w:val="000230C6"/>
    <w:rsid w:val="0003634D"/>
    <w:rsid w:val="0013569F"/>
    <w:rsid w:val="003318AC"/>
    <w:rsid w:val="004556C0"/>
    <w:rsid w:val="004C1AA0"/>
    <w:rsid w:val="00696A34"/>
    <w:rsid w:val="0073243D"/>
    <w:rsid w:val="00770C2E"/>
    <w:rsid w:val="0080694D"/>
    <w:rsid w:val="00A13D99"/>
    <w:rsid w:val="00B97AFE"/>
    <w:rsid w:val="00C11A5C"/>
    <w:rsid w:val="00CB2CD3"/>
    <w:rsid w:val="00DA3DFF"/>
    <w:rsid w:val="00E71D11"/>
    <w:rsid w:val="00F30E60"/>
    <w:rsid w:val="00F521D8"/>
    <w:rsid w:val="03AC2A06"/>
    <w:rsid w:val="0847176D"/>
    <w:rsid w:val="0A642D41"/>
    <w:rsid w:val="10655492"/>
    <w:rsid w:val="2D891F6C"/>
    <w:rsid w:val="2E9E3D28"/>
    <w:rsid w:val="2EFD5DBD"/>
    <w:rsid w:val="3144312E"/>
    <w:rsid w:val="363F199D"/>
    <w:rsid w:val="39B32FBD"/>
    <w:rsid w:val="401801A8"/>
    <w:rsid w:val="424651B8"/>
    <w:rsid w:val="53887F5B"/>
    <w:rsid w:val="64E70FF9"/>
    <w:rsid w:val="69D518B9"/>
    <w:rsid w:val="7EB31646"/>
    <w:rsid w:val="7EC36F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491</Characters>
  <Lines>4</Lines>
  <Paragraphs>1</Paragraphs>
  <TotalTime>31</TotalTime>
  <ScaleCrop>false</ScaleCrop>
  <LinksUpToDate>false</LinksUpToDate>
  <CharactersWithSpaces>575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2020-11-23T01:25:00Z</dcterms:created>
  <dc:creator>Hope</dc:creator>
  <cp:lastModifiedBy>卡蛋豆久</cp:lastModifiedBy>
  <dcterms:modified xsi:type="dcterms:W3CDTF">2020-12-08T06:45:01Z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