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Times New Roman"/>
          <w:color w:val="000000"/>
          <w:sz w:val="32"/>
          <w:szCs w:val="32"/>
        </w:rPr>
      </w:pPr>
      <w:r>
        <w:rPr>
          <w:rFonts w:hint="eastAsia" w:cs="宋体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1</w:t>
      </w:r>
      <w:r>
        <w:rPr>
          <w:rFonts w:hint="eastAsia" w:cs="宋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 w:cs="宋体"/>
          <w:color w:val="000000"/>
          <w:sz w:val="44"/>
          <w:szCs w:val="44"/>
        </w:rPr>
        <w:t>嘉兴市财政局公开选调（选聘）工作人员计划及职位要求表</w:t>
      </w:r>
    </w:p>
    <w:tbl>
      <w:tblPr>
        <w:tblStyle w:val="3"/>
        <w:tblW w:w="1479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550"/>
        <w:gridCol w:w="1395"/>
        <w:gridCol w:w="1380"/>
        <w:gridCol w:w="1350"/>
        <w:gridCol w:w="2671"/>
        <w:gridCol w:w="1701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选调（选聘）单位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嘉兴市财政局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财政管理01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经济学类、财政学类、法学类、金融学类、工商管理类、数学类、公共管理类、电子信息类、自动化类、计算机类专业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要求男性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嘉兴市财政局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财政管理02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要求女性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嘉兴市数字财政管理服务中心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专业技术03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嘉兴市投资基金管理服务中心（嘉兴市社会保障资金管理服务中心）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公益二类事业单位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专业技术04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02F93"/>
    <w:rsid w:val="2F9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2021-05-20T09:13:00Z</dcterms:created>
  <dc:creator>Administrator</dc:creator>
  <cp:lastModifiedBy>Administrator</cp:lastModifiedBy>
  <dcterms:modified xsi:type="dcterms:W3CDTF">2021-05-20T09:14:11Z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7ECA2CC4E47242ADB51F6550493BA71E</vt:lpwstr>
  </property>
</Properties>
</file>