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36"/>
          <w:szCs w:val="36"/>
        </w:rPr>
      </w:pPr>
      <w:bookmarkStart w:id="0" w:name="_GoBack"/>
      <w:bookmarkEnd w:id="0"/>
      <w:r>
        <w:rPr>
          <w:rFonts w:ascii="宋体" w:hAnsi="宋体"/>
          <w:b/>
          <w:sz w:val="36"/>
          <w:szCs w:val="36"/>
        </w:rPr>
        <w:t>政策解读</w:t>
      </w:r>
    </w:p>
    <w:p>
      <w:pPr>
        <w:spacing w:line="560" w:lineRule="exact"/>
        <w:ind w:firstLine="624" w:firstLineChars="200"/>
        <w:rPr>
          <w:rFonts w:ascii="黑体" w:hAnsi="黑体" w:eastAsia="黑体"/>
          <w:spacing w:val="-4"/>
          <w:sz w:val="32"/>
          <w:szCs w:val="32"/>
        </w:rPr>
      </w:pPr>
      <w:r>
        <w:rPr>
          <w:rFonts w:hint="eastAsia" w:ascii="黑体" w:hAnsi="黑体" w:eastAsia="黑体"/>
          <w:spacing w:val="-4"/>
          <w:sz w:val="32"/>
          <w:szCs w:val="32"/>
        </w:rPr>
        <w:t>一、制定目的</w:t>
      </w:r>
    </w:p>
    <w:p>
      <w:pPr>
        <w:spacing w:line="560" w:lineRule="exact"/>
        <w:ind w:firstLine="640" w:firstLineChars="200"/>
        <w:rPr>
          <w:rFonts w:ascii="仿宋_GB2312" w:eastAsia="仿宋_GB2312"/>
          <w:spacing w:val="-4"/>
          <w:sz w:val="32"/>
          <w:szCs w:val="32"/>
        </w:rPr>
      </w:pPr>
      <w:r>
        <w:rPr>
          <w:rFonts w:hint="eastAsia" w:ascii="仿宋_GB2312" w:eastAsia="仿宋_GB2312"/>
          <w:sz w:val="32"/>
          <w:szCs w:val="32"/>
        </w:rPr>
        <w:t>为</w:t>
      </w:r>
      <w:r>
        <w:rPr>
          <w:rFonts w:hint="eastAsia" w:ascii="仿宋_GB2312" w:hAnsi="仿宋_GB2312" w:eastAsia="仿宋_GB2312" w:cs="仿宋_GB2312"/>
          <w:sz w:val="32"/>
          <w:szCs w:val="32"/>
        </w:rPr>
        <w:t>加强和规范市级旅游专项资金管理，促进我市旅游业健康与高质量发展，提高资金使用绩效，发挥财政资金对旅游业发展的杠杆作用。</w:t>
      </w:r>
    </w:p>
    <w:p>
      <w:pPr>
        <w:spacing w:line="560" w:lineRule="exact"/>
        <w:ind w:firstLine="624" w:firstLineChars="200"/>
        <w:rPr>
          <w:rFonts w:ascii="黑体" w:hAnsi="黑体" w:eastAsia="黑体"/>
          <w:spacing w:val="-4"/>
          <w:sz w:val="32"/>
          <w:szCs w:val="32"/>
        </w:rPr>
      </w:pPr>
      <w:r>
        <w:rPr>
          <w:rFonts w:hint="eastAsia" w:ascii="黑体" w:hAnsi="黑体" w:eastAsia="黑体"/>
          <w:spacing w:val="-4"/>
          <w:sz w:val="32"/>
          <w:szCs w:val="32"/>
        </w:rPr>
        <w:t>二、政策依据</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sz w:val="32"/>
          <w:szCs w:val="32"/>
        </w:rPr>
        <w:t>嘉兴市级政府专项资金管理办法》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sz w:val="32"/>
          <w:szCs w:val="32"/>
        </w:rPr>
        <w:t>关于全面落实预算绩效管理的实施方案》</w:t>
      </w:r>
    </w:p>
    <w:p>
      <w:pPr>
        <w:spacing w:line="336" w:lineRule="auto"/>
        <w:ind w:firstLine="480" w:firstLineChars="150"/>
        <w:rPr>
          <w:rFonts w:ascii="楷体" w:hAnsi="楷体" w:eastAsia="楷体" w:cs="楷体"/>
          <w:sz w:val="32"/>
          <w:szCs w:val="32"/>
        </w:rPr>
      </w:pPr>
      <w:r>
        <w:rPr>
          <w:rFonts w:hint="eastAsia" w:ascii="仿宋_GB2312" w:hAnsi="仿宋_GB2312" w:eastAsia="仿宋_GB2312" w:cs="仿宋_GB2312"/>
          <w:sz w:val="32"/>
          <w:szCs w:val="32"/>
        </w:rPr>
        <w:t xml:space="preserve"> （三）</w:t>
      </w:r>
      <w:r>
        <w:rPr>
          <w:rFonts w:hint="eastAsia" w:ascii="仿宋_GB2312" w:eastAsia="仿宋_GB2312"/>
          <w:color w:val="000000"/>
          <w:sz w:val="32"/>
          <w:szCs w:val="32"/>
        </w:rPr>
        <w:t>《中共嘉兴市委嘉兴市人民政府</w:t>
      </w:r>
      <w:r>
        <w:rPr>
          <w:rFonts w:hint="eastAsia" w:ascii="仿宋_GB2312" w:hAnsi="华文中宋" w:eastAsia="仿宋_GB2312"/>
          <w:color w:val="000000"/>
          <w:sz w:val="32"/>
          <w:szCs w:val="32"/>
        </w:rPr>
        <w:t>关于促进旅游业改革发展加快打造运河国际旅游休闲城市的实施意见》（嘉委发［2014］25号）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（四）《嘉兴市人民政府专题会议纪要》（</w:t>
      </w:r>
      <w:r>
        <w:rPr>
          <w:rFonts w:hint="eastAsia" w:ascii="仿宋_GB2312" w:hAnsi="华文中宋" w:eastAsia="仿宋_GB2312"/>
          <w:color w:val="000000"/>
          <w:sz w:val="32"/>
          <w:szCs w:val="32"/>
        </w:rPr>
        <w:t>［2015］28号</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三、术语释义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专项资金是指</w:t>
      </w:r>
      <w:r>
        <w:rPr>
          <w:rFonts w:hint="eastAsia" w:ascii="仿宋_GB2312" w:hAnsi="Arial" w:eastAsia="仿宋_GB2312" w:cs="Arial"/>
          <w:spacing w:val="-4"/>
          <w:sz w:val="32"/>
          <w:szCs w:val="32"/>
        </w:rPr>
        <w:t>由市级财政统筹安排，专项用于支持</w:t>
      </w:r>
      <w:r>
        <w:rPr>
          <w:rFonts w:hint="eastAsia" w:ascii="仿宋_GB2312" w:hAnsi="仿宋_GB2312" w:eastAsia="仿宋_GB2312" w:cs="仿宋_GB2312"/>
          <w:sz w:val="32"/>
          <w:szCs w:val="32"/>
        </w:rPr>
        <w:t>旅游业发展</w:t>
      </w:r>
      <w:r>
        <w:rPr>
          <w:rFonts w:hint="eastAsia" w:ascii="仿宋_GB2312" w:hAnsi="Arial" w:eastAsia="仿宋_GB2312" w:cs="Arial"/>
          <w:spacing w:val="-4"/>
          <w:sz w:val="32"/>
          <w:szCs w:val="32"/>
        </w:rPr>
        <w:t>的财政</w:t>
      </w:r>
      <w:r>
        <w:rPr>
          <w:rFonts w:hint="eastAsia" w:ascii="仿宋_GB2312" w:hAnsi="仿宋_GB2312" w:eastAsia="仿宋_GB2312" w:cs="仿宋_GB2312"/>
          <w:sz w:val="32"/>
          <w:szCs w:val="32"/>
        </w:rPr>
        <w:t>性资金。</w:t>
      </w:r>
    </w:p>
    <w:p>
      <w:pPr>
        <w:spacing w:line="560" w:lineRule="exact"/>
        <w:ind w:firstLine="624" w:firstLineChars="200"/>
        <w:rPr>
          <w:rFonts w:ascii="黑体" w:hAnsi="黑体" w:eastAsia="黑体"/>
          <w:spacing w:val="-4"/>
          <w:sz w:val="32"/>
          <w:szCs w:val="32"/>
        </w:rPr>
      </w:pPr>
      <w:r>
        <w:rPr>
          <w:rFonts w:hint="eastAsia" w:ascii="黑体" w:hAnsi="黑体" w:eastAsia="黑体"/>
          <w:spacing w:val="-4"/>
          <w:sz w:val="32"/>
          <w:szCs w:val="32"/>
        </w:rPr>
        <w:t>四、主要内容</w:t>
      </w:r>
    </w:p>
    <w:p>
      <w:pPr>
        <w:spacing w:line="600" w:lineRule="exact"/>
        <w:ind w:firstLine="624"/>
      </w:pPr>
      <w:r>
        <w:rPr>
          <w:rFonts w:ascii="仿宋_GB2312" w:hAnsi="仿宋_GB2312" w:eastAsia="仿宋_GB2312"/>
          <w:spacing w:val="-4"/>
          <w:sz w:val="32"/>
          <w:szCs w:val="32"/>
        </w:rPr>
        <w:t>《嘉兴市</w:t>
      </w:r>
      <w:r>
        <w:rPr>
          <w:rFonts w:hint="eastAsia" w:ascii="仿宋_GB2312" w:hAnsi="仿宋_GB2312" w:eastAsia="仿宋_GB2312" w:cs="仿宋_GB2312"/>
          <w:sz w:val="32"/>
          <w:szCs w:val="32"/>
        </w:rPr>
        <w:t>级旅游发展专项资金管理办法</w:t>
      </w:r>
      <w:r>
        <w:rPr>
          <w:rFonts w:ascii="仿宋_GB2312" w:hAnsi="仿宋_GB2312" w:eastAsia="仿宋_GB2312"/>
          <w:spacing w:val="-4"/>
          <w:sz w:val="32"/>
          <w:szCs w:val="32"/>
        </w:rPr>
        <w:t>》主要包括总则</w:t>
      </w:r>
      <w:r>
        <w:rPr>
          <w:rFonts w:hint="eastAsia" w:ascii="仿宋_GB2312" w:hAnsi="仿宋_GB2312" w:eastAsia="仿宋_GB2312"/>
          <w:spacing w:val="-4"/>
          <w:sz w:val="32"/>
          <w:szCs w:val="32"/>
        </w:rPr>
        <w:t>，管理职责，</w:t>
      </w:r>
      <w:r>
        <w:rPr>
          <w:rFonts w:ascii="仿宋_GB2312" w:hAnsi="仿宋_GB2312" w:eastAsia="仿宋_GB2312"/>
          <w:spacing w:val="-4"/>
          <w:sz w:val="32"/>
          <w:szCs w:val="32"/>
        </w:rPr>
        <w:t>资金扶持对象、重点领域和分配方式</w:t>
      </w:r>
      <w:r>
        <w:rPr>
          <w:rFonts w:hint="eastAsia" w:ascii="仿宋_GB2312" w:hAnsi="仿宋_GB2312" w:eastAsia="仿宋_GB2312"/>
          <w:spacing w:val="-4"/>
          <w:sz w:val="32"/>
          <w:szCs w:val="32"/>
        </w:rPr>
        <w:t>，</w:t>
      </w:r>
      <w:r>
        <w:rPr>
          <w:rFonts w:ascii="仿宋_GB2312" w:hAnsi="仿宋_GB2312" w:eastAsia="仿宋_GB2312"/>
          <w:spacing w:val="-4"/>
          <w:sz w:val="32"/>
          <w:szCs w:val="32"/>
        </w:rPr>
        <w:t>预算编制、下达和执行</w:t>
      </w:r>
      <w:r>
        <w:rPr>
          <w:rFonts w:hint="eastAsia" w:ascii="仿宋_GB2312" w:hAnsi="仿宋_GB2312" w:eastAsia="仿宋_GB2312"/>
          <w:spacing w:val="-4"/>
          <w:sz w:val="32"/>
          <w:szCs w:val="32"/>
        </w:rPr>
        <w:t>，</w:t>
      </w:r>
      <w:r>
        <w:rPr>
          <w:rFonts w:ascii="仿宋_GB2312" w:hAnsi="仿宋_GB2312" w:eastAsia="仿宋_GB2312"/>
          <w:spacing w:val="-4"/>
          <w:sz w:val="32"/>
          <w:szCs w:val="32"/>
        </w:rPr>
        <w:t>绩效管理和监督检查、信息公开</w:t>
      </w:r>
      <w:r>
        <w:rPr>
          <w:rFonts w:hint="eastAsia" w:ascii="仿宋_GB2312" w:hAnsi="仿宋_GB2312" w:eastAsia="仿宋_GB2312"/>
          <w:spacing w:val="-4"/>
          <w:sz w:val="32"/>
          <w:szCs w:val="32"/>
        </w:rPr>
        <w:t>及</w:t>
      </w:r>
      <w:r>
        <w:rPr>
          <w:rFonts w:ascii="仿宋_GB2312" w:hAnsi="仿宋_GB2312" w:eastAsia="仿宋_GB2312"/>
          <w:spacing w:val="-4"/>
          <w:sz w:val="32"/>
          <w:szCs w:val="32"/>
        </w:rPr>
        <w:t>附则共</w:t>
      </w:r>
      <w:r>
        <w:rPr>
          <w:rFonts w:hint="eastAsia" w:ascii="仿宋_GB2312" w:hAnsi="仿宋_GB2312" w:eastAsia="仿宋_GB2312" w:cs="仿宋_GB2312"/>
          <w:sz w:val="32"/>
          <w:szCs w:val="32"/>
        </w:rPr>
        <w:t>六章二十六条</w:t>
      </w:r>
      <w:r>
        <w:rPr>
          <w:rFonts w:hint="eastAsia" w:ascii="仿宋_GB2312" w:hAnsi="仿宋_GB2312" w:eastAsia="仿宋_GB2312"/>
          <w:color w:val="000000"/>
          <w:spacing w:val="-4"/>
          <w:sz w:val="32"/>
          <w:szCs w:val="32"/>
        </w:rPr>
        <w:t>，</w:t>
      </w:r>
      <w:r>
        <w:rPr>
          <w:rFonts w:hint="eastAsia" w:ascii="仿宋_GB2312" w:hAnsi="仿宋_GB2312" w:eastAsia="仿宋_GB2312"/>
          <w:spacing w:val="-4"/>
          <w:sz w:val="32"/>
          <w:szCs w:val="32"/>
        </w:rPr>
        <w:t>将</w:t>
      </w:r>
      <w:r>
        <w:rPr>
          <w:rFonts w:ascii="仿宋_GB2312" w:hAnsi="仿宋_GB2312" w:eastAsia="仿宋_GB2312"/>
          <w:spacing w:val="-4"/>
          <w:sz w:val="32"/>
          <w:szCs w:val="32"/>
        </w:rPr>
        <w:t>为市</w:t>
      </w:r>
      <w:r>
        <w:rPr>
          <w:rFonts w:hint="eastAsia" w:ascii="仿宋_GB2312" w:hAnsi="仿宋_GB2312" w:eastAsia="仿宋_GB2312" w:cs="仿宋_GB2312"/>
          <w:sz w:val="32"/>
          <w:szCs w:val="32"/>
        </w:rPr>
        <w:t>级旅游发展</w:t>
      </w:r>
      <w:r>
        <w:rPr>
          <w:rFonts w:ascii="仿宋_GB2312" w:hAnsi="仿宋_GB2312" w:eastAsia="仿宋_GB2312"/>
          <w:spacing w:val="-4"/>
          <w:sz w:val="32"/>
          <w:szCs w:val="32"/>
        </w:rPr>
        <w:t>专项资金的</w:t>
      </w:r>
      <w:r>
        <w:rPr>
          <w:rFonts w:hint="eastAsia" w:ascii="仿宋_GB2312" w:hAnsi="仿宋_GB2312" w:eastAsia="仿宋_GB2312"/>
          <w:spacing w:val="-4"/>
          <w:sz w:val="32"/>
          <w:szCs w:val="32"/>
        </w:rPr>
        <w:t>合理规范</w:t>
      </w:r>
      <w:r>
        <w:rPr>
          <w:rFonts w:ascii="仿宋_GB2312" w:hAnsi="仿宋_GB2312" w:eastAsia="仿宋_GB2312"/>
          <w:spacing w:val="-4"/>
          <w:sz w:val="32"/>
          <w:szCs w:val="32"/>
        </w:rPr>
        <w:t>使用提供</w:t>
      </w:r>
      <w:r>
        <w:rPr>
          <w:rFonts w:hint="eastAsia" w:ascii="仿宋_GB2312" w:hAnsi="仿宋_GB2312" w:eastAsia="仿宋_GB2312"/>
          <w:spacing w:val="-4"/>
          <w:sz w:val="32"/>
          <w:szCs w:val="32"/>
        </w:rPr>
        <w:t>政策</w:t>
      </w:r>
      <w:r>
        <w:rPr>
          <w:rFonts w:ascii="仿宋_GB2312" w:hAnsi="仿宋_GB2312" w:eastAsia="仿宋_GB2312"/>
          <w:spacing w:val="-4"/>
          <w:sz w:val="32"/>
          <w:szCs w:val="32"/>
        </w:rPr>
        <w:t>依据。</w:t>
      </w:r>
    </w:p>
    <w:p>
      <w:pPr>
        <w:widowControl/>
        <w:spacing w:line="560" w:lineRule="exact"/>
        <w:ind w:firstLine="624" w:firstLineChars="200"/>
        <w:rPr>
          <w:rFonts w:ascii="黑体" w:hAnsi="黑体" w:eastAsia="黑体"/>
          <w:spacing w:val="-4"/>
          <w:sz w:val="32"/>
          <w:szCs w:val="32"/>
        </w:rPr>
      </w:pPr>
      <w:r>
        <w:rPr>
          <w:rFonts w:hint="eastAsia" w:ascii="黑体" w:hAnsi="黑体" w:eastAsia="黑体"/>
          <w:spacing w:val="-4"/>
          <w:sz w:val="32"/>
          <w:szCs w:val="32"/>
        </w:rPr>
        <w:t>五、注意事项</w:t>
      </w:r>
    </w:p>
    <w:p>
      <w:pPr>
        <w:pStyle w:val="4"/>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专项资金存续期限为3年。到期后，嘉兴市文化广电旅游局对三年实施总体情况开展绩效评价，嘉兴市财政部门进行审核，必要时可提请开展专项审计</w:t>
      </w:r>
      <w:r>
        <w:rPr>
          <w:rFonts w:hint="eastAsia" w:ascii="仿宋_GB2312" w:eastAsia="仿宋_GB2312" w:cs="宋体"/>
          <w:sz w:val="32"/>
          <w:szCs w:val="32"/>
        </w:rPr>
        <w:t>，</w:t>
      </w:r>
      <w:r>
        <w:rPr>
          <w:rFonts w:hint="eastAsia" w:ascii="仿宋_GB2312" w:hAnsi="仿宋_GB2312" w:eastAsia="仿宋_GB2312" w:cs="仿宋_GB2312"/>
          <w:sz w:val="32"/>
          <w:szCs w:val="32"/>
        </w:rPr>
        <w:t>并根据评价结果确定专项资金及相关支持政策存续、调整或撤销。在新的管理办法出台前，专项资金管理仍按本办法执行。</w:t>
      </w:r>
    </w:p>
    <w:p>
      <w:pPr>
        <w:spacing w:line="560" w:lineRule="exact"/>
        <w:ind w:firstLine="624" w:firstLineChars="200"/>
        <w:rPr>
          <w:rFonts w:ascii="黑体" w:hAnsi="黑体" w:eastAsia="黑体"/>
          <w:spacing w:val="-4"/>
          <w:sz w:val="32"/>
          <w:szCs w:val="32"/>
        </w:rPr>
      </w:pPr>
      <w:r>
        <w:rPr>
          <w:rFonts w:hint="eastAsia" w:ascii="黑体" w:hAnsi="黑体" w:eastAsia="黑体"/>
          <w:spacing w:val="-4"/>
          <w:sz w:val="32"/>
          <w:szCs w:val="32"/>
        </w:rPr>
        <w:t>六、解读机关、解读人及联系方式</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（一）解读机关：嘉兴市财政局 嘉兴市文化广电旅游局</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 xml:space="preserve">（二）解读人：    </w:t>
      </w:r>
      <w:r>
        <w:rPr>
          <w:rFonts w:hint="eastAsia" w:ascii="仿宋_GB2312" w:hAnsi="仿宋_GB2312" w:eastAsia="仿宋_GB2312"/>
          <w:color w:val="000000"/>
          <w:sz w:val="32"/>
          <w:szCs w:val="32"/>
        </w:rPr>
        <w:t xml:space="preserve">吴劲松           </w:t>
      </w:r>
      <w:r>
        <w:rPr>
          <w:rFonts w:hint="eastAsia" w:ascii="仿宋_GB2312" w:eastAsia="仿宋_GB2312"/>
          <w:color w:val="000000"/>
          <w:sz w:val="32"/>
          <w:szCs w:val="32"/>
        </w:rPr>
        <w:t>朱宇红</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 xml:space="preserve">（三）联系方式： </w:t>
      </w:r>
      <w:r>
        <w:rPr>
          <w:rFonts w:hint="eastAsia" w:ascii="仿宋_GB2312" w:hAnsi="仿宋_GB2312" w:eastAsia="仿宋_GB2312"/>
          <w:color w:val="000000"/>
          <w:spacing w:val="-4"/>
          <w:sz w:val="32"/>
          <w:szCs w:val="32"/>
        </w:rPr>
        <w:t>82064547</w:t>
      </w:r>
      <w:r>
        <w:rPr>
          <w:rFonts w:hint="eastAsia" w:ascii="仿宋_GB2312" w:eastAsia="仿宋_GB2312"/>
          <w:color w:val="000000"/>
          <w:sz w:val="32"/>
          <w:szCs w:val="32"/>
        </w:rPr>
        <w:t xml:space="preserve">         82153607</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tabs>
          <w:tab w:val="left" w:pos="5025"/>
        </w:tabs>
        <w:rPr>
          <w:rFonts w:ascii="仿宋_GB2312" w:eastAsia="仿宋_GB2312"/>
          <w:sz w:val="32"/>
          <w:szCs w:val="32"/>
        </w:rPr>
      </w:pPr>
      <w:r>
        <w:rPr>
          <w:rFonts w:ascii="仿宋_GB2312" w:eastAsia="仿宋_GB2312"/>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78"/>
    <w:rsid w:val="00027F74"/>
    <w:rsid w:val="000441BC"/>
    <w:rsid w:val="00060793"/>
    <w:rsid w:val="000724DC"/>
    <w:rsid w:val="00096289"/>
    <w:rsid w:val="000D52EF"/>
    <w:rsid w:val="00141E17"/>
    <w:rsid w:val="00171B74"/>
    <w:rsid w:val="00171C4E"/>
    <w:rsid w:val="00187075"/>
    <w:rsid w:val="001A00BC"/>
    <w:rsid w:val="00207429"/>
    <w:rsid w:val="00284FA3"/>
    <w:rsid w:val="00286C78"/>
    <w:rsid w:val="002A0509"/>
    <w:rsid w:val="002B0CE7"/>
    <w:rsid w:val="003D41DD"/>
    <w:rsid w:val="00405040"/>
    <w:rsid w:val="00436636"/>
    <w:rsid w:val="00450FA8"/>
    <w:rsid w:val="00476922"/>
    <w:rsid w:val="00522F9A"/>
    <w:rsid w:val="0058599F"/>
    <w:rsid w:val="005D275D"/>
    <w:rsid w:val="0060727A"/>
    <w:rsid w:val="007D5E32"/>
    <w:rsid w:val="00830D83"/>
    <w:rsid w:val="00881FD3"/>
    <w:rsid w:val="00896E47"/>
    <w:rsid w:val="008A6856"/>
    <w:rsid w:val="008C6DC8"/>
    <w:rsid w:val="008E62B5"/>
    <w:rsid w:val="008F04C1"/>
    <w:rsid w:val="009107BF"/>
    <w:rsid w:val="00971766"/>
    <w:rsid w:val="00972275"/>
    <w:rsid w:val="00976F4D"/>
    <w:rsid w:val="009A1855"/>
    <w:rsid w:val="009C0C5B"/>
    <w:rsid w:val="00A12B42"/>
    <w:rsid w:val="00A555DE"/>
    <w:rsid w:val="00AD2E60"/>
    <w:rsid w:val="00B025E9"/>
    <w:rsid w:val="00B106C2"/>
    <w:rsid w:val="00BA080B"/>
    <w:rsid w:val="00BC4979"/>
    <w:rsid w:val="00C529E9"/>
    <w:rsid w:val="00C94B9E"/>
    <w:rsid w:val="00D03AB8"/>
    <w:rsid w:val="00D124F7"/>
    <w:rsid w:val="00D64FFD"/>
    <w:rsid w:val="00D71F42"/>
    <w:rsid w:val="00D77D2C"/>
    <w:rsid w:val="00DD33D1"/>
    <w:rsid w:val="00E36FAE"/>
    <w:rsid w:val="00E740C0"/>
    <w:rsid w:val="00E82AB6"/>
    <w:rsid w:val="00EC7AB9"/>
    <w:rsid w:val="00ED124C"/>
    <w:rsid w:val="00EE4E4A"/>
    <w:rsid w:val="00F409EB"/>
    <w:rsid w:val="00FC662F"/>
    <w:rsid w:val="37F7BC1E"/>
    <w:rsid w:val="388F5BA2"/>
    <w:rsid w:val="657346C9"/>
    <w:rsid w:val="F5EEF8CC"/>
    <w:rsid w:val="FEFEBB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92</Words>
  <Characters>525</Characters>
  <Lines>4</Lines>
  <Paragraphs>1</Paragraphs>
  <TotalTime>14</TotalTime>
  <ScaleCrop>false</ScaleCrop>
  <LinksUpToDate>false</LinksUpToDate>
  <CharactersWithSpaces>616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2020-09-16T18:54:00Z</dcterms:created>
  <dc:creator>董人帅</dc:creator>
  <cp:lastModifiedBy>thtf</cp:lastModifiedBy>
  <dcterms:modified xsi:type="dcterms:W3CDTF">2021-05-07T15:51:56Z</dcterms:modified>
  <dc:title>政策解读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