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6F" w:rsidRPr="00520872" w:rsidRDefault="00921E6F" w:rsidP="00D64FFD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286C78" w:rsidRPr="00520872" w:rsidRDefault="00286C78" w:rsidP="00D64FFD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520872">
        <w:rPr>
          <w:rFonts w:ascii="仿宋" w:eastAsia="仿宋" w:hAnsi="仿宋"/>
          <w:b/>
          <w:sz w:val="32"/>
          <w:szCs w:val="32"/>
        </w:rPr>
        <w:t>政策解读</w:t>
      </w:r>
      <w:r w:rsidR="0082465C" w:rsidRPr="00520872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82465C" w:rsidRPr="00520872" w:rsidRDefault="0082465C" w:rsidP="00D64FFD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286C78" w:rsidRPr="003F7486" w:rsidRDefault="00286C78" w:rsidP="00D64FFD">
      <w:pPr>
        <w:spacing w:line="560" w:lineRule="exact"/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3F7486">
        <w:rPr>
          <w:rFonts w:ascii="仿宋" w:eastAsia="仿宋" w:hAnsi="仿宋" w:hint="eastAsia"/>
          <w:spacing w:val="-4"/>
          <w:sz w:val="32"/>
          <w:szCs w:val="32"/>
        </w:rPr>
        <w:t>一、制定</w:t>
      </w:r>
      <w:r w:rsidR="00436636" w:rsidRPr="003F7486">
        <w:rPr>
          <w:rFonts w:ascii="仿宋" w:eastAsia="仿宋" w:hAnsi="仿宋" w:hint="eastAsia"/>
          <w:spacing w:val="-4"/>
          <w:sz w:val="32"/>
          <w:szCs w:val="32"/>
        </w:rPr>
        <w:t>目的</w:t>
      </w:r>
    </w:p>
    <w:p w:rsidR="007D5E32" w:rsidRPr="00614D26" w:rsidRDefault="00FE6499" w:rsidP="00D64FF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F7486">
        <w:rPr>
          <w:rFonts w:ascii="仿宋" w:eastAsia="仿宋" w:hAnsi="仿宋" w:cs="仿宋_GB2312" w:hint="eastAsia"/>
          <w:sz w:val="32"/>
          <w:szCs w:val="32"/>
        </w:rPr>
        <w:t>为加强和规范</w:t>
      </w:r>
      <w:r w:rsidR="009E4CEE" w:rsidRPr="00614D26">
        <w:rPr>
          <w:rFonts w:ascii="仿宋" w:eastAsia="仿宋" w:hAnsi="仿宋" w:cs="仿宋_GB2312" w:hint="eastAsia"/>
          <w:sz w:val="32"/>
          <w:szCs w:val="32"/>
        </w:rPr>
        <w:t>嘉兴市级</w:t>
      </w:r>
      <w:r w:rsidRPr="003F7486">
        <w:rPr>
          <w:rFonts w:ascii="仿宋" w:eastAsia="仿宋" w:hAnsi="仿宋" w:cs="仿宋_GB2312" w:hint="eastAsia"/>
          <w:sz w:val="32"/>
          <w:szCs w:val="32"/>
        </w:rPr>
        <w:t>工业和信息化专项资金管理，提升企业自主创新和核心竞争力，加快产业结构调整和优化升级，推进我市制造业高质量发展，提高资金使用绩效</w:t>
      </w:r>
      <w:r w:rsidR="00F409EB" w:rsidRPr="00614D26">
        <w:rPr>
          <w:rFonts w:ascii="仿宋" w:eastAsia="仿宋" w:hAnsi="仿宋" w:cs="仿宋_GB2312" w:hint="eastAsia"/>
          <w:sz w:val="32"/>
          <w:szCs w:val="32"/>
        </w:rPr>
        <w:t>。</w:t>
      </w:r>
    </w:p>
    <w:p w:rsidR="00286C78" w:rsidRPr="00614D26" w:rsidRDefault="00436636" w:rsidP="00614D2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14D26">
        <w:rPr>
          <w:rFonts w:ascii="仿宋" w:eastAsia="仿宋" w:hAnsi="仿宋" w:cs="仿宋_GB2312" w:hint="eastAsia"/>
          <w:sz w:val="32"/>
          <w:szCs w:val="32"/>
        </w:rPr>
        <w:t>二、</w:t>
      </w:r>
      <w:r w:rsidR="00286C78" w:rsidRPr="00614D26">
        <w:rPr>
          <w:rFonts w:ascii="仿宋" w:eastAsia="仿宋" w:hAnsi="仿宋" w:cs="仿宋_GB2312" w:hint="eastAsia"/>
          <w:sz w:val="32"/>
          <w:szCs w:val="32"/>
        </w:rPr>
        <w:t>政策依据</w:t>
      </w:r>
    </w:p>
    <w:p w:rsidR="00A60688" w:rsidRPr="003F7486" w:rsidRDefault="00436636" w:rsidP="00A6068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14D26">
        <w:rPr>
          <w:rFonts w:ascii="仿宋" w:eastAsia="仿宋" w:hAnsi="仿宋" w:cs="仿宋_GB2312" w:hint="eastAsia"/>
          <w:sz w:val="32"/>
          <w:szCs w:val="32"/>
        </w:rPr>
        <w:t>（一）</w:t>
      </w:r>
      <w:r w:rsidR="00A60688" w:rsidRPr="003F7486">
        <w:rPr>
          <w:rFonts w:ascii="仿宋" w:eastAsia="仿宋" w:hAnsi="仿宋" w:cs="仿宋_GB2312" w:hint="eastAsia"/>
          <w:sz w:val="32"/>
          <w:szCs w:val="32"/>
        </w:rPr>
        <w:t>《关于全面落实预算绩效管理的实施方案》（</w:t>
      </w:r>
      <w:r w:rsidR="00A60688" w:rsidRPr="00614D26">
        <w:rPr>
          <w:rFonts w:ascii="仿宋" w:eastAsia="仿宋" w:hAnsi="仿宋" w:cs="仿宋_GB2312" w:hint="eastAsia"/>
          <w:sz w:val="32"/>
          <w:szCs w:val="32"/>
        </w:rPr>
        <w:t>嘉委发〔2019〕30号</w:t>
      </w:r>
      <w:r w:rsidR="00A60688" w:rsidRPr="003F7486">
        <w:rPr>
          <w:rFonts w:ascii="仿宋" w:eastAsia="仿宋" w:hAnsi="仿宋" w:cs="仿宋_GB2312" w:hint="eastAsia"/>
          <w:sz w:val="32"/>
          <w:szCs w:val="32"/>
        </w:rPr>
        <w:t>）</w:t>
      </w:r>
    </w:p>
    <w:p w:rsidR="00F409EB" w:rsidRPr="00614D26" w:rsidRDefault="00A60688" w:rsidP="00A6068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14D26">
        <w:rPr>
          <w:rFonts w:ascii="仿宋" w:eastAsia="仿宋" w:hAnsi="仿宋" w:cs="仿宋_GB2312" w:hint="eastAsia"/>
          <w:sz w:val="32"/>
          <w:szCs w:val="32"/>
        </w:rPr>
        <w:t>（二）</w:t>
      </w:r>
      <w:r w:rsidR="00763BF0" w:rsidRPr="003F7486">
        <w:rPr>
          <w:rFonts w:ascii="仿宋" w:eastAsia="仿宋" w:hAnsi="仿宋" w:cs="仿宋_GB2312" w:hint="eastAsia"/>
          <w:sz w:val="32"/>
          <w:szCs w:val="32"/>
        </w:rPr>
        <w:t>《嘉兴市级政府专项资金管理办法》(嘉政办发〔2020〕20号)</w:t>
      </w:r>
    </w:p>
    <w:p w:rsidR="00436636" w:rsidRPr="00614D26" w:rsidRDefault="00436636" w:rsidP="00D64FF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14D26">
        <w:rPr>
          <w:rFonts w:ascii="仿宋" w:eastAsia="仿宋" w:hAnsi="仿宋" w:cs="仿宋_GB2312" w:hint="eastAsia"/>
          <w:sz w:val="32"/>
          <w:szCs w:val="32"/>
        </w:rPr>
        <w:t>三、术语释义</w:t>
      </w:r>
    </w:p>
    <w:p w:rsidR="00436636" w:rsidRPr="003F7486" w:rsidRDefault="009E4CEE" w:rsidP="00F82A76">
      <w:pPr>
        <w:spacing w:line="560" w:lineRule="exact"/>
        <w:ind w:firstLineChars="200" w:firstLine="640"/>
        <w:rPr>
          <w:rFonts w:ascii="仿宋" w:eastAsia="仿宋" w:hAnsi="仿宋" w:cs="Arial"/>
          <w:spacing w:val="-4"/>
          <w:sz w:val="32"/>
          <w:szCs w:val="32"/>
        </w:rPr>
      </w:pPr>
      <w:r w:rsidRPr="00614D26">
        <w:rPr>
          <w:rFonts w:ascii="仿宋" w:eastAsia="仿宋" w:hAnsi="仿宋" w:cs="仿宋_GB2312" w:hint="eastAsia"/>
          <w:sz w:val="32"/>
          <w:szCs w:val="32"/>
        </w:rPr>
        <w:t>嘉兴</w:t>
      </w:r>
      <w:r w:rsidR="00F82A76" w:rsidRPr="00614D26">
        <w:rPr>
          <w:rFonts w:ascii="仿宋" w:eastAsia="仿宋" w:hAnsi="仿宋" w:cs="仿宋_GB2312" w:hint="eastAsia"/>
          <w:sz w:val="32"/>
          <w:szCs w:val="32"/>
        </w:rPr>
        <w:t>市级</w:t>
      </w:r>
      <w:r w:rsidR="001106C2" w:rsidRPr="003F7486">
        <w:rPr>
          <w:rFonts w:ascii="仿宋" w:eastAsia="仿宋" w:hAnsi="仿宋" w:cs="仿宋_GB2312" w:hint="eastAsia"/>
          <w:sz w:val="32"/>
          <w:szCs w:val="32"/>
        </w:rPr>
        <w:t>工业和信息化专项资金（简称“工信资金”）是</w:t>
      </w:r>
      <w:r w:rsidR="001106C2" w:rsidRPr="00614D26">
        <w:rPr>
          <w:rFonts w:ascii="仿宋" w:eastAsia="仿宋" w:hAnsi="仿宋" w:cs="仿宋_GB2312" w:hint="eastAsia"/>
          <w:sz w:val="32"/>
          <w:szCs w:val="32"/>
        </w:rPr>
        <w:t>由市级财政统筹</w:t>
      </w:r>
      <w:r w:rsidR="001106C2" w:rsidRPr="003F7486">
        <w:rPr>
          <w:rFonts w:ascii="仿宋" w:eastAsia="仿宋" w:hAnsi="仿宋" w:cs="Arial" w:hint="eastAsia"/>
          <w:spacing w:val="-4"/>
          <w:sz w:val="32"/>
          <w:szCs w:val="32"/>
        </w:rPr>
        <w:t>安排，专项用于支持市级制造业高质量发展，在一定时期内具有专门用途和绩效目标的财政性资金。</w:t>
      </w:r>
    </w:p>
    <w:p w:rsidR="00286C78" w:rsidRPr="003F7486" w:rsidRDefault="00436636" w:rsidP="00D64FFD">
      <w:pPr>
        <w:spacing w:line="560" w:lineRule="exact"/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3F7486">
        <w:rPr>
          <w:rFonts w:ascii="仿宋" w:eastAsia="仿宋" w:hAnsi="仿宋" w:hint="eastAsia"/>
          <w:spacing w:val="-4"/>
          <w:sz w:val="32"/>
          <w:szCs w:val="32"/>
        </w:rPr>
        <w:t>四、主要内容</w:t>
      </w:r>
    </w:p>
    <w:p w:rsidR="000516BB" w:rsidRPr="000549D9" w:rsidRDefault="000516BB" w:rsidP="000516BB">
      <w:pPr>
        <w:ind w:firstLineChars="200" w:firstLine="624"/>
        <w:rPr>
          <w:rFonts w:ascii="仿宋_GB2312" w:eastAsia="仿宋_GB2312" w:hAnsi="仿宋"/>
          <w:color w:val="000000"/>
          <w:spacing w:val="-4"/>
          <w:sz w:val="32"/>
          <w:szCs w:val="32"/>
        </w:rPr>
      </w:pPr>
      <w:r w:rsidRPr="000549D9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《嘉兴市级工业和信息化发展资金管理办法》共六章二十一条，主要包括五个方面内容：</w:t>
      </w:r>
    </w:p>
    <w:p w:rsidR="000516BB" w:rsidRPr="000549D9" w:rsidRDefault="000516BB" w:rsidP="000516BB">
      <w:pPr>
        <w:spacing w:line="560" w:lineRule="exact"/>
        <w:ind w:firstLineChars="150" w:firstLine="468"/>
        <w:rPr>
          <w:rFonts w:ascii="仿宋_GB2312" w:eastAsia="仿宋_GB2312" w:hAnsi="仿宋"/>
          <w:color w:val="000000"/>
          <w:spacing w:val="-4"/>
          <w:sz w:val="32"/>
          <w:szCs w:val="32"/>
        </w:rPr>
      </w:pPr>
      <w:r w:rsidRPr="000549D9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（一）关于工信资金定义、资金来源、存续期限等。办法明确</w:t>
      </w:r>
      <w:r w:rsidR="000825DB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工信资金的定义，资金来源包括市级资金、上级因素法分配资金等，工信</w:t>
      </w:r>
      <w:r w:rsidRPr="000549D9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资金存续期限为3年。</w:t>
      </w:r>
    </w:p>
    <w:p w:rsidR="000516BB" w:rsidRPr="000549D9" w:rsidRDefault="000825DB" w:rsidP="000516BB">
      <w:pPr>
        <w:spacing w:line="560" w:lineRule="exact"/>
        <w:ind w:firstLineChars="150" w:firstLine="468"/>
        <w:rPr>
          <w:rFonts w:ascii="仿宋_GB2312" w:eastAsia="仿宋_GB2312" w:hAnsi="仿宋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（二）关于工信资金政府部门间管理职责。</w:t>
      </w:r>
      <w:r w:rsidR="000516BB" w:rsidRPr="000549D9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进一步规范专项资金管理，明确了市、区财政、经信部门的职责。</w:t>
      </w:r>
    </w:p>
    <w:p w:rsidR="000516BB" w:rsidRPr="000549D9" w:rsidRDefault="000516BB" w:rsidP="000516BB">
      <w:pPr>
        <w:widowControl/>
        <w:spacing w:line="560" w:lineRule="exact"/>
        <w:ind w:firstLineChars="150" w:firstLine="468"/>
        <w:rPr>
          <w:rFonts w:ascii="仿宋_GB2312" w:eastAsia="仿宋_GB2312" w:hAnsi="仿宋"/>
          <w:color w:val="000000"/>
          <w:spacing w:val="-4"/>
          <w:sz w:val="32"/>
          <w:szCs w:val="32"/>
        </w:rPr>
      </w:pPr>
      <w:r w:rsidRPr="000549D9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lastRenderedPageBreak/>
        <w:t>（三）关于工信资金扶持对象、重点领域和分配方式。</w:t>
      </w:r>
      <w:r w:rsidR="000825DB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管理</w:t>
      </w:r>
      <w:r w:rsidR="00F5438C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办法明确工信资金扶持对象应具备的基本条件；工信资金扶持重点领域,</w:t>
      </w:r>
      <w:r w:rsidRPr="000549D9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是承担产业基础高级化、产业链现代化、制造业高质量发展的实施主</w:t>
      </w:r>
      <w:r w:rsidR="00F05055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体所涉及的先进制造业重点领域和重点方向；工信资金分配主要按因素</w:t>
      </w:r>
      <w:r w:rsidRPr="000549D9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分配法、项目分配法进行分配。涉及市级政策补助原则上由市财政承担比例不超50%。</w:t>
      </w:r>
    </w:p>
    <w:p w:rsidR="000516BB" w:rsidRPr="000549D9" w:rsidRDefault="000516BB" w:rsidP="000516BB">
      <w:pPr>
        <w:spacing w:line="560" w:lineRule="exact"/>
        <w:ind w:firstLineChars="150" w:firstLine="468"/>
        <w:rPr>
          <w:rFonts w:ascii="仿宋_GB2312" w:eastAsia="仿宋_GB2312" w:hAnsi="仿宋"/>
          <w:color w:val="000000"/>
          <w:spacing w:val="-4"/>
          <w:sz w:val="32"/>
          <w:szCs w:val="32"/>
        </w:rPr>
      </w:pPr>
      <w:r w:rsidRPr="000549D9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（四）预算编制、下达和执行。</w:t>
      </w:r>
    </w:p>
    <w:p w:rsidR="000516BB" w:rsidRPr="000549D9" w:rsidRDefault="000516BB" w:rsidP="000516BB">
      <w:pPr>
        <w:spacing w:line="560" w:lineRule="exact"/>
        <w:ind w:firstLineChars="215" w:firstLine="671"/>
        <w:rPr>
          <w:rFonts w:ascii="仿宋_GB2312" w:eastAsia="仿宋_GB2312" w:hAnsi="仿宋"/>
          <w:color w:val="000000"/>
          <w:spacing w:val="-4"/>
          <w:sz w:val="32"/>
          <w:szCs w:val="32"/>
        </w:rPr>
      </w:pPr>
      <w:r w:rsidRPr="000549D9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工信资金纳入市经信局的部门预算管理，按照财政部门规定的时间和程序进行编制。市财政局审核后按法定程序报批、下达预算。经信部门建立和管理项目储备库，分解安排、细化、实化资金任务，按规定制定或修订配套操作细则，按照相关规定组织</w:t>
      </w:r>
      <w:r w:rsidR="000825DB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项目申报、审核、公示及资金拨付，并将绩效目标落实到具体项目。工信</w:t>
      </w:r>
      <w:r w:rsidRPr="000549D9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资金原则上需在每年10月底前完成拨付。</w:t>
      </w:r>
    </w:p>
    <w:p w:rsidR="000516BB" w:rsidRPr="000549D9" w:rsidRDefault="000516BB" w:rsidP="000516BB">
      <w:pPr>
        <w:snapToGrid w:val="0"/>
        <w:spacing w:line="560" w:lineRule="exact"/>
        <w:ind w:firstLineChars="150" w:firstLine="468"/>
        <w:rPr>
          <w:rFonts w:ascii="仿宋_GB2312" w:eastAsia="仿宋_GB2312" w:hAnsi="仿宋"/>
          <w:color w:val="000000"/>
          <w:spacing w:val="-4"/>
          <w:sz w:val="32"/>
          <w:szCs w:val="32"/>
        </w:rPr>
      </w:pPr>
      <w:r w:rsidRPr="000549D9">
        <w:rPr>
          <w:rFonts w:ascii="仿宋_GB2312" w:eastAsia="仿宋_GB2312" w:hAnsi="仿宋" w:hint="eastAsia"/>
          <w:color w:val="000000"/>
          <w:spacing w:val="-4"/>
          <w:sz w:val="32"/>
          <w:szCs w:val="32"/>
        </w:rPr>
        <w:t>（五）绩效管理和监督检查、信息公开。</w:t>
      </w:r>
    </w:p>
    <w:p w:rsidR="000516BB" w:rsidRDefault="000516BB" w:rsidP="000516BB">
      <w:pPr>
        <w:spacing w:line="560" w:lineRule="exact"/>
        <w:ind w:firstLineChars="200" w:firstLine="624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4"/>
          <w:sz w:val="32"/>
          <w:szCs w:val="32"/>
        </w:rPr>
        <w:t>市经信局</w:t>
      </w:r>
      <w:r w:rsidR="000825DB">
        <w:rPr>
          <w:rFonts w:ascii="仿宋" w:eastAsia="仿宋" w:hAnsi="仿宋" w:cs="仿宋_GB2312" w:hint="eastAsia"/>
          <w:sz w:val="32"/>
          <w:szCs w:val="32"/>
        </w:rPr>
        <w:t>建立健全工信</w:t>
      </w:r>
      <w:r w:rsidRPr="00520872">
        <w:rPr>
          <w:rFonts w:ascii="仿宋" w:eastAsia="仿宋" w:hAnsi="仿宋" w:cs="仿宋_GB2312" w:hint="eastAsia"/>
          <w:sz w:val="32"/>
          <w:szCs w:val="32"/>
        </w:rPr>
        <w:t>资金预</w:t>
      </w:r>
      <w:r w:rsidR="000825DB">
        <w:rPr>
          <w:rFonts w:ascii="仿宋" w:eastAsia="仿宋" w:hAnsi="仿宋" w:cs="仿宋_GB2312" w:hint="eastAsia"/>
          <w:sz w:val="32"/>
          <w:szCs w:val="32"/>
        </w:rPr>
        <w:t>算绩效管理制度和绩效指标体系，完善绩效目标管理，每年组织开展工信</w:t>
      </w:r>
      <w:r w:rsidRPr="00520872">
        <w:rPr>
          <w:rFonts w:ascii="仿宋" w:eastAsia="仿宋" w:hAnsi="仿宋" w:cs="仿宋_GB2312" w:hint="eastAsia"/>
          <w:sz w:val="32"/>
          <w:szCs w:val="32"/>
        </w:rPr>
        <w:t>资金绩效自评。市财政局视情开展抽评</w:t>
      </w:r>
      <w:r>
        <w:rPr>
          <w:rFonts w:ascii="仿宋" w:eastAsia="仿宋" w:hAnsi="仿宋" w:cs="仿宋_GB2312" w:hint="eastAsia"/>
          <w:sz w:val="32"/>
          <w:szCs w:val="32"/>
        </w:rPr>
        <w:t>。各区相关部门</w:t>
      </w:r>
      <w:r w:rsidRPr="00520872">
        <w:rPr>
          <w:rFonts w:ascii="仿宋" w:eastAsia="仿宋" w:hAnsi="仿宋" w:cs="仿宋_GB2312" w:hint="eastAsia"/>
          <w:sz w:val="32"/>
          <w:szCs w:val="32"/>
        </w:rPr>
        <w:t>根据项目管理和实施情况组织开展绩效目标申报、绩效监控和绩效评价等。</w:t>
      </w:r>
      <w:r w:rsidRPr="00520872">
        <w:rPr>
          <w:rFonts w:ascii="仿宋" w:eastAsia="仿宋" w:hAnsi="仿宋" w:hint="eastAsia"/>
          <w:color w:val="000000"/>
          <w:spacing w:val="-4"/>
          <w:sz w:val="32"/>
          <w:szCs w:val="32"/>
        </w:rPr>
        <w:t>专项资金使用管理接受审计、纪检监察、财政等部门的监督检查，一旦发现截留、挤占、挪用或骗取专项资金等违法违纪行为，依照有关法律法规的规定追究相应责任。</w:t>
      </w:r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>市经信局负责</w:t>
      </w:r>
      <w:r w:rsidR="000825DB">
        <w:rPr>
          <w:rFonts w:ascii="仿宋_GB2312" w:eastAsia="仿宋_GB2312" w:hint="eastAsia"/>
          <w:color w:val="000000"/>
          <w:spacing w:val="-4"/>
          <w:sz w:val="32"/>
          <w:szCs w:val="32"/>
        </w:rPr>
        <w:t>工信</w:t>
      </w:r>
      <w:r w:rsidRPr="00CD7539">
        <w:rPr>
          <w:rFonts w:ascii="仿宋_GB2312" w:eastAsia="仿宋_GB2312" w:hint="eastAsia"/>
          <w:color w:val="000000"/>
          <w:spacing w:val="-4"/>
          <w:sz w:val="32"/>
          <w:szCs w:val="32"/>
        </w:rPr>
        <w:t>资金分配和使用情况向社会公开，接受有关部门和社会的监督。</w:t>
      </w:r>
    </w:p>
    <w:p w:rsidR="00417A25" w:rsidRPr="000516BB" w:rsidRDefault="00417A25" w:rsidP="00D634DC">
      <w:pPr>
        <w:snapToGrid w:val="0"/>
        <w:spacing w:line="560" w:lineRule="exact"/>
        <w:ind w:firstLineChars="200" w:firstLine="624"/>
        <w:rPr>
          <w:rFonts w:ascii="仿宋" w:eastAsia="仿宋" w:hAnsi="仿宋" w:cs="Arial"/>
          <w:spacing w:val="-4"/>
          <w:kern w:val="0"/>
          <w:sz w:val="32"/>
          <w:szCs w:val="32"/>
        </w:rPr>
      </w:pPr>
    </w:p>
    <w:p w:rsidR="00DA348D" w:rsidRPr="003F7486" w:rsidRDefault="005840E6" w:rsidP="00DA348D">
      <w:pPr>
        <w:snapToGrid w:val="0"/>
        <w:spacing w:line="560" w:lineRule="exact"/>
        <w:ind w:firstLineChars="200" w:firstLine="624"/>
        <w:rPr>
          <w:rFonts w:ascii="仿宋" w:eastAsia="仿宋" w:hAnsi="仿宋" w:cs="Arial"/>
          <w:spacing w:val="-4"/>
          <w:kern w:val="0"/>
          <w:sz w:val="32"/>
          <w:szCs w:val="32"/>
        </w:rPr>
      </w:pPr>
      <w:r>
        <w:rPr>
          <w:rFonts w:ascii="仿宋" w:eastAsia="仿宋" w:hAnsi="仿宋" w:cs="Arial" w:hint="eastAsia"/>
          <w:spacing w:val="-4"/>
          <w:kern w:val="0"/>
          <w:sz w:val="32"/>
          <w:szCs w:val="32"/>
        </w:rPr>
        <w:t>五、</w:t>
      </w:r>
      <w:r w:rsidR="00DA348D" w:rsidRPr="003F7486">
        <w:rPr>
          <w:rFonts w:ascii="仿宋" w:eastAsia="仿宋" w:hAnsi="仿宋" w:cs="Arial" w:hint="eastAsia"/>
          <w:spacing w:val="-4"/>
          <w:kern w:val="0"/>
          <w:sz w:val="32"/>
          <w:szCs w:val="32"/>
        </w:rPr>
        <w:t>附则</w:t>
      </w:r>
    </w:p>
    <w:p w:rsidR="00286C78" w:rsidRPr="003F7486" w:rsidRDefault="0044266E" w:rsidP="0044266E">
      <w:pPr>
        <w:snapToGrid w:val="0"/>
        <w:spacing w:line="560" w:lineRule="exact"/>
        <w:ind w:firstLineChars="200" w:firstLine="624"/>
        <w:rPr>
          <w:rFonts w:ascii="仿宋" w:eastAsia="仿宋" w:hAnsi="仿宋" w:cs="仿宋_GB2312"/>
          <w:bCs/>
          <w:kern w:val="0"/>
          <w:sz w:val="32"/>
          <w:szCs w:val="32"/>
        </w:rPr>
      </w:pPr>
      <w:r w:rsidRPr="003F7486">
        <w:rPr>
          <w:rFonts w:ascii="仿宋" w:eastAsia="仿宋" w:hAnsi="仿宋" w:cs="Arial" w:hint="eastAsia"/>
          <w:spacing w:val="-4"/>
          <w:kern w:val="0"/>
          <w:sz w:val="32"/>
          <w:szCs w:val="32"/>
        </w:rPr>
        <w:t xml:space="preserve"> </w:t>
      </w:r>
      <w:r w:rsidR="00286C78" w:rsidRPr="003F7486">
        <w:rPr>
          <w:rFonts w:ascii="仿宋" w:eastAsia="仿宋" w:hAnsi="仿宋" w:hint="eastAsia"/>
          <w:spacing w:val="-4"/>
          <w:sz w:val="32"/>
          <w:szCs w:val="32"/>
        </w:rPr>
        <w:t>解读机关、解读人及联系方式</w:t>
      </w:r>
    </w:p>
    <w:p w:rsidR="00286C78" w:rsidRPr="003F7486" w:rsidRDefault="00207429" w:rsidP="00D64FFD">
      <w:pPr>
        <w:spacing w:line="560" w:lineRule="exact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3F7486">
        <w:rPr>
          <w:rFonts w:ascii="仿宋" w:eastAsia="仿宋" w:hAnsi="仿宋" w:hint="eastAsia"/>
          <w:color w:val="000000"/>
          <w:sz w:val="32"/>
          <w:szCs w:val="32"/>
        </w:rPr>
        <w:t xml:space="preserve">（一）解读机关：嘉兴市财政局 </w:t>
      </w:r>
      <w:r w:rsidR="0082465C" w:rsidRPr="003F7486">
        <w:rPr>
          <w:rFonts w:ascii="仿宋" w:eastAsia="仿宋" w:hAnsi="仿宋" w:hint="eastAsia"/>
          <w:color w:val="000000"/>
          <w:sz w:val="32"/>
          <w:szCs w:val="32"/>
        </w:rPr>
        <w:t>嘉兴市经信</w:t>
      </w:r>
      <w:r w:rsidRPr="003F7486">
        <w:rPr>
          <w:rFonts w:ascii="仿宋" w:eastAsia="仿宋" w:hAnsi="仿宋" w:hint="eastAsia"/>
          <w:color w:val="000000"/>
          <w:sz w:val="32"/>
          <w:szCs w:val="32"/>
        </w:rPr>
        <w:t>局</w:t>
      </w:r>
    </w:p>
    <w:p w:rsidR="008E62B5" w:rsidRPr="003F7486" w:rsidRDefault="00207429" w:rsidP="00D64FFD">
      <w:pPr>
        <w:spacing w:line="560" w:lineRule="exact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3F7486">
        <w:rPr>
          <w:rFonts w:ascii="仿宋" w:eastAsia="仿宋" w:hAnsi="仿宋" w:hint="eastAsia"/>
          <w:color w:val="000000"/>
          <w:sz w:val="32"/>
          <w:szCs w:val="32"/>
        </w:rPr>
        <w:t>（二）解读人：</w:t>
      </w:r>
      <w:r w:rsidR="0082465C" w:rsidRPr="003F7486">
        <w:rPr>
          <w:rFonts w:ascii="仿宋" w:eastAsia="仿宋" w:hAnsi="仿宋" w:hint="eastAsia"/>
          <w:color w:val="000000"/>
          <w:sz w:val="32"/>
          <w:szCs w:val="32"/>
        </w:rPr>
        <w:t xml:space="preserve">鲍晓锦  </w:t>
      </w:r>
      <w:r w:rsidR="009F1141">
        <w:rPr>
          <w:rFonts w:ascii="仿宋" w:eastAsia="仿宋" w:hAnsi="仿宋" w:hint="eastAsia"/>
          <w:color w:val="000000"/>
          <w:sz w:val="32"/>
          <w:szCs w:val="32"/>
        </w:rPr>
        <w:t>朱云</w:t>
      </w:r>
      <w:r w:rsidR="0082465C" w:rsidRPr="003F7486">
        <w:rPr>
          <w:rFonts w:ascii="仿宋" w:eastAsia="仿宋" w:hAnsi="仿宋" w:hint="eastAsia"/>
          <w:color w:val="000000"/>
          <w:sz w:val="32"/>
          <w:szCs w:val="32"/>
        </w:rPr>
        <w:t>峰</w:t>
      </w:r>
    </w:p>
    <w:p w:rsidR="00207429" w:rsidRPr="003F7486" w:rsidRDefault="00207429" w:rsidP="00D64FFD">
      <w:pPr>
        <w:spacing w:line="560" w:lineRule="exact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3F7486">
        <w:rPr>
          <w:rFonts w:ascii="仿宋" w:eastAsia="仿宋" w:hAnsi="仿宋" w:hint="eastAsia"/>
          <w:color w:val="000000"/>
          <w:sz w:val="32"/>
          <w:szCs w:val="32"/>
        </w:rPr>
        <w:t>（三）</w:t>
      </w:r>
      <w:r w:rsidR="008E62B5" w:rsidRPr="003F7486">
        <w:rPr>
          <w:rFonts w:ascii="仿宋" w:eastAsia="仿宋" w:hAnsi="仿宋" w:hint="eastAsia"/>
          <w:color w:val="000000"/>
          <w:sz w:val="32"/>
          <w:szCs w:val="32"/>
        </w:rPr>
        <w:t>联系方式：</w:t>
      </w:r>
      <w:r w:rsidR="0082465C" w:rsidRPr="003F7486">
        <w:rPr>
          <w:rFonts w:ascii="仿宋" w:eastAsia="仿宋" w:hAnsi="仿宋"/>
          <w:color w:val="000000"/>
          <w:sz w:val="32"/>
          <w:szCs w:val="32"/>
        </w:rPr>
        <w:t>820</w:t>
      </w:r>
      <w:r w:rsidR="0082465C" w:rsidRPr="003F7486">
        <w:rPr>
          <w:rFonts w:ascii="仿宋" w:eastAsia="仿宋" w:hAnsi="仿宋" w:hint="eastAsia"/>
          <w:color w:val="000000"/>
          <w:sz w:val="32"/>
          <w:szCs w:val="32"/>
        </w:rPr>
        <w:t xml:space="preserve">31305  </w:t>
      </w:r>
      <w:r w:rsidR="008E62B5" w:rsidRPr="003F7486">
        <w:rPr>
          <w:rFonts w:ascii="仿宋" w:eastAsia="仿宋" w:hAnsi="仿宋" w:hint="eastAsia"/>
          <w:color w:val="000000"/>
          <w:sz w:val="32"/>
          <w:szCs w:val="32"/>
        </w:rPr>
        <w:t>82</w:t>
      </w:r>
      <w:r w:rsidR="009F1141">
        <w:rPr>
          <w:rFonts w:ascii="仿宋" w:eastAsia="仿宋" w:hAnsi="仿宋" w:hint="eastAsia"/>
          <w:color w:val="000000"/>
          <w:sz w:val="32"/>
          <w:szCs w:val="32"/>
        </w:rPr>
        <w:t>521891</w:t>
      </w:r>
    </w:p>
    <w:sectPr w:rsidR="00207429" w:rsidRPr="003F7486" w:rsidSect="00976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63" w:rsidRDefault="00B62763" w:rsidP="00286C78">
      <w:r>
        <w:separator/>
      </w:r>
    </w:p>
  </w:endnote>
  <w:endnote w:type="continuationSeparator" w:id="1">
    <w:p w:rsidR="00B62763" w:rsidRDefault="00B62763" w:rsidP="00286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63" w:rsidRDefault="00B62763" w:rsidP="00286C78">
      <w:r>
        <w:separator/>
      </w:r>
    </w:p>
  </w:footnote>
  <w:footnote w:type="continuationSeparator" w:id="1">
    <w:p w:rsidR="00B62763" w:rsidRDefault="00B62763" w:rsidP="00286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453F"/>
    <w:multiLevelType w:val="hybridMultilevel"/>
    <w:tmpl w:val="96DCDAD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C78"/>
    <w:rsid w:val="00000DC7"/>
    <w:rsid w:val="00027F74"/>
    <w:rsid w:val="000361E0"/>
    <w:rsid w:val="000441BC"/>
    <w:rsid w:val="000516BB"/>
    <w:rsid w:val="00060793"/>
    <w:rsid w:val="000724DC"/>
    <w:rsid w:val="000825DB"/>
    <w:rsid w:val="00083901"/>
    <w:rsid w:val="00085B26"/>
    <w:rsid w:val="00087B1B"/>
    <w:rsid w:val="000E1A76"/>
    <w:rsid w:val="000F27BB"/>
    <w:rsid w:val="001106C2"/>
    <w:rsid w:val="00110D3A"/>
    <w:rsid w:val="00132DED"/>
    <w:rsid w:val="00137873"/>
    <w:rsid w:val="00140C1F"/>
    <w:rsid w:val="00171C4E"/>
    <w:rsid w:val="00187075"/>
    <w:rsid w:val="001F1488"/>
    <w:rsid w:val="001F7A42"/>
    <w:rsid w:val="00207429"/>
    <w:rsid w:val="00227FEC"/>
    <w:rsid w:val="00240013"/>
    <w:rsid w:val="00243830"/>
    <w:rsid w:val="00243E1A"/>
    <w:rsid w:val="00286C78"/>
    <w:rsid w:val="002B0CE7"/>
    <w:rsid w:val="002F4658"/>
    <w:rsid w:val="00356748"/>
    <w:rsid w:val="00367825"/>
    <w:rsid w:val="003B0D0F"/>
    <w:rsid w:val="003B2B38"/>
    <w:rsid w:val="003D38B4"/>
    <w:rsid w:val="003D41DD"/>
    <w:rsid w:val="003F7486"/>
    <w:rsid w:val="004113DB"/>
    <w:rsid w:val="00412E10"/>
    <w:rsid w:val="00417A25"/>
    <w:rsid w:val="00436636"/>
    <w:rsid w:val="0044266E"/>
    <w:rsid w:val="00476922"/>
    <w:rsid w:val="004E1061"/>
    <w:rsid w:val="004E2003"/>
    <w:rsid w:val="005021C5"/>
    <w:rsid w:val="00520872"/>
    <w:rsid w:val="00522F9A"/>
    <w:rsid w:val="00534168"/>
    <w:rsid w:val="005800B0"/>
    <w:rsid w:val="005840E6"/>
    <w:rsid w:val="0058599F"/>
    <w:rsid w:val="005D6854"/>
    <w:rsid w:val="005F4A34"/>
    <w:rsid w:val="0060727A"/>
    <w:rsid w:val="00614D26"/>
    <w:rsid w:val="00634C96"/>
    <w:rsid w:val="00691D86"/>
    <w:rsid w:val="006A51CC"/>
    <w:rsid w:val="006B19CC"/>
    <w:rsid w:val="00703AF2"/>
    <w:rsid w:val="00724D1E"/>
    <w:rsid w:val="00743993"/>
    <w:rsid w:val="00756EFE"/>
    <w:rsid w:val="00763BF0"/>
    <w:rsid w:val="007D5E32"/>
    <w:rsid w:val="007F74B0"/>
    <w:rsid w:val="00810315"/>
    <w:rsid w:val="008136AB"/>
    <w:rsid w:val="00814DFB"/>
    <w:rsid w:val="0082465C"/>
    <w:rsid w:val="0083670F"/>
    <w:rsid w:val="008D058A"/>
    <w:rsid w:val="008E62B5"/>
    <w:rsid w:val="00921E6F"/>
    <w:rsid w:val="00971766"/>
    <w:rsid w:val="00972275"/>
    <w:rsid w:val="00976F4D"/>
    <w:rsid w:val="009A1855"/>
    <w:rsid w:val="009B5E75"/>
    <w:rsid w:val="009D0CF9"/>
    <w:rsid w:val="009D36AA"/>
    <w:rsid w:val="009E4CEE"/>
    <w:rsid w:val="009F1141"/>
    <w:rsid w:val="00A007CE"/>
    <w:rsid w:val="00A22BA6"/>
    <w:rsid w:val="00A555DE"/>
    <w:rsid w:val="00A60688"/>
    <w:rsid w:val="00A63B59"/>
    <w:rsid w:val="00AD0977"/>
    <w:rsid w:val="00AD2E60"/>
    <w:rsid w:val="00AF5B8B"/>
    <w:rsid w:val="00B025E9"/>
    <w:rsid w:val="00B106C2"/>
    <w:rsid w:val="00B4303B"/>
    <w:rsid w:val="00B55C0E"/>
    <w:rsid w:val="00B62763"/>
    <w:rsid w:val="00B82F58"/>
    <w:rsid w:val="00BB5AF3"/>
    <w:rsid w:val="00BC4979"/>
    <w:rsid w:val="00BD596A"/>
    <w:rsid w:val="00C15F08"/>
    <w:rsid w:val="00C529E9"/>
    <w:rsid w:val="00CA77F0"/>
    <w:rsid w:val="00CE3FCB"/>
    <w:rsid w:val="00D2388F"/>
    <w:rsid w:val="00D634DC"/>
    <w:rsid w:val="00D64FFD"/>
    <w:rsid w:val="00D77D2C"/>
    <w:rsid w:val="00D87D2E"/>
    <w:rsid w:val="00DA348D"/>
    <w:rsid w:val="00DB1E7C"/>
    <w:rsid w:val="00E11FD9"/>
    <w:rsid w:val="00E31E7B"/>
    <w:rsid w:val="00E36FAE"/>
    <w:rsid w:val="00E50C2D"/>
    <w:rsid w:val="00E740C0"/>
    <w:rsid w:val="00E81D68"/>
    <w:rsid w:val="00E82AB6"/>
    <w:rsid w:val="00EC7AB9"/>
    <w:rsid w:val="00ED124C"/>
    <w:rsid w:val="00EE4E4A"/>
    <w:rsid w:val="00EE564B"/>
    <w:rsid w:val="00EE6797"/>
    <w:rsid w:val="00F05055"/>
    <w:rsid w:val="00F14D60"/>
    <w:rsid w:val="00F409EB"/>
    <w:rsid w:val="00F4214D"/>
    <w:rsid w:val="00F4542E"/>
    <w:rsid w:val="00F5438C"/>
    <w:rsid w:val="00F634F0"/>
    <w:rsid w:val="00F82A76"/>
    <w:rsid w:val="00FC662F"/>
    <w:rsid w:val="00FE138F"/>
    <w:rsid w:val="00FE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C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C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C78"/>
    <w:rPr>
      <w:sz w:val="18"/>
      <w:szCs w:val="18"/>
    </w:rPr>
  </w:style>
  <w:style w:type="paragraph" w:styleId="a5">
    <w:name w:val="Normal (Web)"/>
    <w:basedOn w:val="a"/>
    <w:rsid w:val="001106C2"/>
    <w:pPr>
      <w:spacing w:beforeAutospacing="1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F82A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BDE7-8485-46AB-BF13-5AB6D2DB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董人帅</dc:creator>
  <cp:lastModifiedBy>张琨</cp:lastModifiedBy>
  <cp:revision>1</cp:revision>
  <dcterms:created xsi:type="dcterms:W3CDTF">2021-03-04T02:01:00Z</dcterms:created>
  <dcterms:modified xsi:type="dcterms:W3CDTF">2021-03-04T02:01:00Z</dcterms:modified>
</cp:coreProperties>
</file>