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《嘉兴市级体育发展专项资金管理办法》政策解读</w:t>
      </w:r>
    </w:p>
    <w:p/>
    <w:p/>
    <w:p>
      <w:pPr>
        <w:spacing w:line="560" w:lineRule="exact"/>
        <w:ind w:firstLine="624" w:firstLineChars="20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一、制定背景</w:t>
      </w:r>
    </w:p>
    <w:p>
      <w:pPr>
        <w:spacing w:line="560" w:lineRule="exact"/>
        <w:ind w:firstLine="626" w:firstLineChars="200"/>
        <w:rPr>
          <w:rFonts w:ascii="仿宋_GB2312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b/>
          <w:spacing w:val="-4"/>
          <w:sz w:val="32"/>
          <w:szCs w:val="32"/>
        </w:rPr>
        <w:t>（一）制定目的。</w:t>
      </w:r>
      <w:r>
        <w:rPr>
          <w:rFonts w:hint="eastAsia" w:ascii="仿宋_GB2312" w:hAnsi="华文仿宋" w:eastAsia="仿宋_GB2312"/>
          <w:sz w:val="32"/>
          <w:szCs w:val="32"/>
        </w:rPr>
        <w:t>为全面推进我市体育事业和产业发展，加强和规范市级体育发展专项使用管理，提高财政资金管理的科学性、规范性、有效性，保障我市体育事业和产业高质量可持续发展。</w:t>
      </w:r>
    </w:p>
    <w:p>
      <w:pPr>
        <w:spacing w:line="560" w:lineRule="exact"/>
        <w:ind w:firstLine="626" w:firstLineChars="200"/>
        <w:rPr>
          <w:rFonts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b/>
          <w:spacing w:val="-4"/>
          <w:sz w:val="32"/>
          <w:szCs w:val="32"/>
        </w:rPr>
        <w:t>（二）政策依据。</w:t>
      </w:r>
      <w:r>
        <w:rPr>
          <w:rFonts w:hint="eastAsia" w:ascii="仿宋_GB2312" w:hAnsi="仿宋_GB2312" w:eastAsia="仿宋_GB2312" w:cs="仿宋_GB2312"/>
          <w:sz w:val="32"/>
          <w:szCs w:val="32"/>
        </w:rPr>
        <w:t>《嘉兴市级政府专项资金管理办法》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嘉政办发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〔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、《关于全面落实预算绩效管理的实施方案》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（嘉委发〔</w:t>
      </w:r>
      <w:r>
        <w:rPr>
          <w:rFonts w:ascii="仿宋_GB2312" w:hAnsi="仿宋" w:eastAsia="仿宋_GB2312"/>
          <w:spacing w:val="-6"/>
          <w:sz w:val="32"/>
          <w:szCs w:val="32"/>
        </w:rPr>
        <w:t>2019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〕</w:t>
      </w:r>
      <w:r>
        <w:rPr>
          <w:rFonts w:ascii="仿宋_GB2312" w:hAnsi="仿宋" w:eastAsia="仿宋_GB2312"/>
          <w:spacing w:val="-6"/>
          <w:sz w:val="32"/>
          <w:szCs w:val="32"/>
        </w:rPr>
        <w:t>30</w:t>
      </w:r>
      <w:r>
        <w:rPr>
          <w:rFonts w:hint="eastAsia" w:ascii="仿宋_GB2312" w:hAnsi="仿宋" w:eastAsia="仿宋_GB2312"/>
          <w:spacing w:val="-6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</w:t>
      </w:r>
      <w:r>
        <w:rPr>
          <w:rFonts w:hint="eastAsia" w:ascii="仿宋_GB2312" w:hAnsi="华文仿宋" w:eastAsia="仿宋_GB2312"/>
          <w:sz w:val="32"/>
          <w:szCs w:val="32"/>
        </w:rPr>
        <w:t>为制定依据。</w:t>
      </w:r>
    </w:p>
    <w:p>
      <w:pPr>
        <w:spacing w:line="560" w:lineRule="exact"/>
        <w:ind w:firstLine="624" w:firstLineChars="20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二、政策措施</w:t>
      </w:r>
    </w:p>
    <w:p>
      <w:pPr>
        <w:spacing w:line="560" w:lineRule="exact"/>
        <w:ind w:firstLine="626" w:firstLineChars="200"/>
        <w:contextualSpacing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（一）</w:t>
      </w:r>
      <w:r>
        <w:rPr>
          <w:rFonts w:ascii="仿宋_GB2312" w:hAnsi="仿宋_GB2312" w:eastAsia="仿宋_GB2312"/>
          <w:b/>
          <w:bCs/>
          <w:spacing w:val="-4"/>
          <w:sz w:val="32"/>
          <w:szCs w:val="32"/>
        </w:rPr>
        <w:t>术语释义</w:t>
      </w: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。</w:t>
      </w:r>
      <w:r>
        <w:rPr>
          <w:rFonts w:hint="eastAsia" w:ascii="仿宋_GB2312" w:hAnsi="仿宋_GB2312" w:eastAsia="仿宋_GB2312"/>
          <w:bCs/>
          <w:spacing w:val="-4"/>
          <w:sz w:val="32"/>
          <w:szCs w:val="32"/>
        </w:rPr>
        <w:t>嘉兴市级体育发展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专项资金是</w:t>
      </w:r>
      <w:r>
        <w:rPr>
          <w:rFonts w:hint="eastAsia" w:ascii="仿宋_GB2312" w:hAnsi="Arial" w:eastAsia="仿宋_GB2312" w:cs="Arial"/>
          <w:spacing w:val="-4"/>
          <w:sz w:val="32"/>
          <w:szCs w:val="32"/>
        </w:rPr>
        <w:t>指由市级财政统筹安排专项用于支持和保障我市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体育事业和产业发展</w:t>
      </w:r>
      <w:r>
        <w:rPr>
          <w:rFonts w:hint="eastAsia" w:ascii="仿宋_GB2312" w:hAnsi="Arial" w:eastAsia="仿宋_GB2312" w:cs="Arial"/>
          <w:spacing w:val="-4"/>
          <w:sz w:val="32"/>
          <w:szCs w:val="32"/>
        </w:rPr>
        <w:t>的财政性资金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200"/>
        <w:rPr>
          <w:rFonts w:ascii="仿宋_GB2312" w:hAnsi="仿宋_GB2312" w:eastAsia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（二）</w:t>
      </w:r>
      <w:r>
        <w:rPr>
          <w:rFonts w:ascii="仿宋_GB2312" w:hAnsi="仿宋_GB2312" w:eastAsia="仿宋_GB2312"/>
          <w:b/>
          <w:bCs/>
          <w:spacing w:val="-4"/>
          <w:sz w:val="32"/>
          <w:szCs w:val="32"/>
        </w:rPr>
        <w:t>主要内容</w:t>
      </w: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。</w:t>
      </w:r>
      <w:r>
        <w:rPr>
          <w:rFonts w:ascii="仿宋_GB2312" w:hAnsi="仿宋_GB2312" w:eastAsia="仿宋_GB2312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嘉兴市级体育发展专项资金</w:t>
      </w:r>
      <w:r>
        <w:rPr>
          <w:rFonts w:ascii="仿宋_GB2312" w:hAnsi="仿宋_GB2312" w:eastAsia="仿宋_GB2312"/>
          <w:spacing w:val="-4"/>
          <w:sz w:val="32"/>
          <w:szCs w:val="32"/>
        </w:rPr>
        <w:t>》主要包括总则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，管理职责，</w:t>
      </w:r>
      <w:r>
        <w:rPr>
          <w:rFonts w:ascii="仿宋_GB2312" w:hAnsi="仿宋_GB2312" w:eastAsia="仿宋_GB2312"/>
          <w:spacing w:val="-4"/>
          <w:sz w:val="32"/>
          <w:szCs w:val="32"/>
        </w:rPr>
        <w:t>资金扶持对象、重点领域和分配方式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，</w:t>
      </w:r>
      <w:r>
        <w:rPr>
          <w:rFonts w:ascii="仿宋_GB2312" w:hAnsi="仿宋_GB2312" w:eastAsia="仿宋_GB2312"/>
          <w:spacing w:val="-4"/>
          <w:sz w:val="32"/>
          <w:szCs w:val="32"/>
        </w:rPr>
        <w:t>预算编制、下达和执行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，</w:t>
      </w:r>
      <w:r>
        <w:rPr>
          <w:rFonts w:ascii="仿宋_GB2312" w:hAnsi="仿宋_GB2312" w:eastAsia="仿宋_GB2312"/>
          <w:spacing w:val="-4"/>
          <w:sz w:val="32"/>
          <w:szCs w:val="32"/>
        </w:rPr>
        <w:t>绩效管理和监督检查、信息公开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及</w:t>
      </w:r>
      <w:r>
        <w:rPr>
          <w:rFonts w:ascii="仿宋_GB2312" w:hAnsi="仿宋_GB2312" w:eastAsia="仿宋_GB2312"/>
          <w:spacing w:val="-4"/>
          <w:sz w:val="32"/>
          <w:szCs w:val="32"/>
        </w:rPr>
        <w:t>附则</w:t>
      </w:r>
      <w:r>
        <w:rPr>
          <w:rFonts w:hint="eastAsia" w:ascii="仿宋_GB2312" w:hAnsi="华文仿宋" w:eastAsia="仿宋_GB2312"/>
          <w:sz w:val="32"/>
          <w:szCs w:val="32"/>
        </w:rPr>
        <w:t>共六章二十三条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，将</w:t>
      </w:r>
      <w:r>
        <w:rPr>
          <w:rFonts w:ascii="仿宋_GB2312" w:hAnsi="仿宋_GB2312" w:eastAsia="仿宋_GB2312"/>
          <w:spacing w:val="-4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体育发展专项资金</w:t>
      </w:r>
      <w:r>
        <w:rPr>
          <w:rFonts w:ascii="仿宋_GB2312" w:hAnsi="仿宋_GB2312" w:eastAsia="仿宋_GB2312"/>
          <w:spacing w:val="-4"/>
          <w:sz w:val="32"/>
          <w:szCs w:val="32"/>
        </w:rPr>
        <w:t>的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合理规范</w:t>
      </w:r>
      <w:r>
        <w:rPr>
          <w:rFonts w:ascii="仿宋_GB2312" w:hAnsi="仿宋_GB2312" w:eastAsia="仿宋_GB2312"/>
          <w:spacing w:val="-4"/>
          <w:sz w:val="32"/>
          <w:szCs w:val="32"/>
        </w:rPr>
        <w:t>使用提供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政策</w:t>
      </w:r>
      <w:r>
        <w:rPr>
          <w:rFonts w:ascii="仿宋_GB2312" w:hAnsi="仿宋_GB2312" w:eastAsia="仿宋_GB2312"/>
          <w:spacing w:val="-4"/>
          <w:sz w:val="32"/>
          <w:szCs w:val="32"/>
        </w:rPr>
        <w:t>依据。</w:t>
      </w:r>
    </w:p>
    <w:p>
      <w:pPr>
        <w:spacing w:line="560" w:lineRule="exact"/>
        <w:ind w:firstLine="200"/>
        <w:rPr>
          <w:rFonts w:ascii="仿宋_GB2312" w:hAnsi="仿宋_GB2312" w:eastAsia="仿宋_GB2312"/>
          <w:b/>
          <w:bCs/>
          <w:spacing w:val="-4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（三）</w:t>
      </w:r>
      <w:r>
        <w:rPr>
          <w:rFonts w:ascii="仿宋_GB2312" w:hAnsi="仿宋_GB2312" w:eastAsia="仿宋_GB2312"/>
          <w:b/>
          <w:bCs/>
          <w:spacing w:val="-4"/>
          <w:sz w:val="32"/>
          <w:szCs w:val="32"/>
        </w:rPr>
        <w:t>适用范围</w:t>
      </w: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。</w:t>
      </w:r>
    </w:p>
    <w:p>
      <w:pPr>
        <w:spacing w:line="560" w:lineRule="exact"/>
        <w:ind w:firstLine="626" w:firstLineChars="200"/>
        <w:rPr>
          <w:rFonts w:ascii="仿宋_GB2312" w:hAnsi="仿宋_GB2312" w:eastAsia="仿宋_GB2312"/>
          <w:b/>
          <w:bCs/>
          <w:spacing w:val="-4"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/>
          <w:b/>
          <w:bCs/>
          <w:spacing w:val="-4"/>
          <w:sz w:val="32"/>
          <w:szCs w:val="32"/>
        </w:rPr>
        <w:t>扶持对象</w:t>
      </w:r>
    </w:p>
    <w:p>
      <w:pPr>
        <w:spacing w:line="560" w:lineRule="exact"/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bCs/>
          <w:spacing w:val="-4"/>
          <w:sz w:val="32"/>
          <w:szCs w:val="32"/>
        </w:rPr>
        <w:t>体育发展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专项资金扶持对象主要是全市各级部门（单位）、学校、社会组织、企业、运动员、教练员、裁判员等。</w:t>
      </w:r>
    </w:p>
    <w:p>
      <w:pPr>
        <w:spacing w:line="560" w:lineRule="exact"/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 扶持重点领域</w:t>
      </w:r>
    </w:p>
    <w:p>
      <w:pPr>
        <w:pStyle w:val="9"/>
        <w:spacing w:line="56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（1）群众体育：包括</w:t>
      </w:r>
      <w:r>
        <w:rPr>
          <w:rFonts w:hint="eastAsia" w:ascii="仿宋_GB2312" w:eastAsia="仿宋_GB2312"/>
          <w:sz w:val="32"/>
          <w:szCs w:val="32"/>
        </w:rPr>
        <w:t>体育场地设施建设和维护、基层体育单位评先创优、群众体育组织和队伍建设、全民健身活动、全民科学健身服务、体育场地公益性开放、其他群众体育</w:t>
      </w:r>
      <w:r>
        <w:rPr>
          <w:rFonts w:hint="eastAsia" w:ascii="仿宋_GB2312" w:eastAsia="仿宋_GB2312"/>
          <w:sz w:val="32"/>
          <w:szCs w:val="30"/>
        </w:rPr>
        <w:t>项目。</w:t>
      </w:r>
    </w:p>
    <w:p>
      <w:pPr>
        <w:pStyle w:val="9"/>
        <w:spacing w:line="56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（2）</w:t>
      </w:r>
      <w:r>
        <w:rPr>
          <w:rFonts w:hint="eastAsia" w:ascii="仿宋_GB2312" w:hAnsi="仿宋_GB2312" w:eastAsia="仿宋_GB2312" w:cs="仿宋_GB2312"/>
          <w:sz w:val="32"/>
          <w:szCs w:val="32"/>
        </w:rPr>
        <w:t>竞技体育：包括</w:t>
      </w:r>
      <w:r>
        <w:rPr>
          <w:rFonts w:hint="eastAsia" w:ascii="仿宋_GB2312" w:eastAsia="仿宋_GB2312"/>
          <w:sz w:val="32"/>
          <w:szCs w:val="32"/>
        </w:rPr>
        <w:t>体育后备人才基地建设、青少年（儿童）体育竞赛、</w:t>
      </w:r>
      <w:r>
        <w:rPr>
          <w:rFonts w:hint="eastAsia" w:ascii="仿宋_GB2312" w:eastAsia="仿宋_GB2312"/>
          <w:sz w:val="32"/>
          <w:szCs w:val="30"/>
        </w:rPr>
        <w:t>运动会备战、竞技体育人才培养、承办国际国内大赛、其他竞技体育项目。</w:t>
      </w:r>
    </w:p>
    <w:p>
      <w:pPr>
        <w:pStyle w:val="9"/>
        <w:spacing w:line="560" w:lineRule="exact"/>
        <w:ind w:firstLine="64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体育产业：包括</w:t>
      </w:r>
      <w:r>
        <w:rPr>
          <w:rFonts w:hint="eastAsia" w:ascii="仿宋_GB2312" w:eastAsia="仿宋_GB2312"/>
          <w:sz w:val="32"/>
          <w:szCs w:val="30"/>
        </w:rPr>
        <w:t>体育产业平台和项目、体育服务业、</w:t>
      </w:r>
      <w:r>
        <w:rPr>
          <w:rFonts w:hint="eastAsia" w:ascii="仿宋_GB2312" w:hAnsi="宋体" w:eastAsia="仿宋_GB2312" w:cs="仿宋_GB2312"/>
          <w:spacing w:val="-4"/>
          <w:sz w:val="32"/>
          <w:szCs w:val="32"/>
        </w:rPr>
        <w:t>体育用品制造业、体育产业推广活动、</w:t>
      </w:r>
      <w:r>
        <w:rPr>
          <w:rFonts w:hint="eastAsia" w:ascii="仿宋_GB2312" w:eastAsia="仿宋_GB2312"/>
          <w:sz w:val="32"/>
          <w:szCs w:val="30"/>
        </w:rPr>
        <w:t>其他体育产业项目。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0"/>
        </w:rPr>
      </w:pPr>
      <w:r>
        <w:rPr>
          <w:rFonts w:hint="eastAsia" w:ascii="仿宋_GB2312" w:eastAsia="仿宋_GB2312"/>
          <w:sz w:val="32"/>
          <w:szCs w:val="30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其他体育发展领域：包括</w:t>
      </w:r>
      <w:r>
        <w:rPr>
          <w:rFonts w:hint="eastAsia" w:ascii="仿宋_GB2312" w:eastAsia="仿宋_GB2312"/>
          <w:sz w:val="32"/>
          <w:szCs w:val="30"/>
        </w:rPr>
        <w:t>用于资助对口援建、结对共建等单位改善健身条件，开展健身活动；用于体育发展宣传推广；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符合</w:t>
      </w:r>
      <w:r>
        <w:rPr>
          <w:rFonts w:hint="eastAsia" w:ascii="仿宋_GB2312" w:eastAsia="仿宋_GB2312"/>
          <w:sz w:val="32"/>
          <w:szCs w:val="30"/>
        </w:rPr>
        <w:t>体育事业和产业发展的其他项目。</w:t>
      </w:r>
    </w:p>
    <w:p>
      <w:pPr>
        <w:widowControl/>
        <w:spacing w:line="560" w:lineRule="exact"/>
        <w:ind w:firstLine="624" w:firstLineChars="20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三、注意事项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专项资金存续期限为三年。到期后，市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体育局对三年实施总体情况开展绩效自评</w:t>
      </w:r>
      <w:r>
        <w:rPr>
          <w:rFonts w:hint="eastAsia" w:ascii="仿宋_GB2312" w:eastAsia="仿宋_GB2312" w:cs="宋体"/>
          <w:color w:val="000000"/>
          <w:sz w:val="32"/>
          <w:szCs w:val="32"/>
        </w:rPr>
        <w:t>。</w:t>
      </w:r>
      <w:r>
        <w:rPr>
          <w:rFonts w:hint="eastAsia" w:ascii="仿宋_GB2312" w:eastAsia="仿宋_GB2312" w:cs="宋体"/>
          <w:sz w:val="32"/>
          <w:szCs w:val="32"/>
        </w:rPr>
        <w:t>市财政局可视情开展重点绩效评价，根据评价结果，适时调整专项资金实施期限和分配政策。必要时可提请开展专项审计，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并根据评价结果确定专项资金及相关支持政策存续、调整或撤销。</w:t>
      </w:r>
    </w:p>
    <w:p>
      <w:pPr>
        <w:spacing w:line="560" w:lineRule="exact"/>
        <w:ind w:firstLine="624" w:firstLineChars="200"/>
        <w:rPr>
          <w:rFonts w:ascii="黑体" w:hAnsi="黑体" w:eastAsia="黑体"/>
          <w:spacing w:val="-4"/>
          <w:sz w:val="32"/>
          <w:szCs w:val="32"/>
        </w:rPr>
      </w:pPr>
      <w:r>
        <w:rPr>
          <w:rFonts w:hint="eastAsia" w:ascii="黑体" w:hAnsi="黑体" w:eastAsia="黑体"/>
          <w:spacing w:val="-4"/>
          <w:sz w:val="32"/>
          <w:szCs w:val="32"/>
        </w:rPr>
        <w:t>四、解读机关、解读人及联系方式</w:t>
      </w:r>
    </w:p>
    <w:p>
      <w:pPr>
        <w:spacing w:line="560" w:lineRule="exact"/>
        <w:ind w:firstLine="624" w:firstLineChars="200"/>
        <w:rPr>
          <w:rFonts w:ascii="仿宋_GB2312" w:hAnsi="黑体" w:eastAsia="仿宋_GB2312"/>
          <w:spacing w:val="-4"/>
          <w:sz w:val="32"/>
          <w:szCs w:val="32"/>
        </w:rPr>
      </w:pPr>
      <w:r>
        <w:rPr>
          <w:rFonts w:hint="eastAsia" w:ascii="仿宋_GB2312" w:hAnsi="黑体" w:eastAsia="仿宋_GB2312"/>
          <w:spacing w:val="-4"/>
          <w:sz w:val="32"/>
          <w:szCs w:val="32"/>
        </w:rPr>
        <w:t>解读机关：嘉兴市财政局  嘉兴市体育局</w:t>
      </w:r>
    </w:p>
    <w:p>
      <w:pPr>
        <w:spacing w:line="560" w:lineRule="exact"/>
        <w:ind w:firstLine="624" w:firstLineChars="200"/>
        <w:rPr>
          <w:rFonts w:ascii="仿宋_GB2312" w:hAnsi="黑体" w:eastAsia="仿宋_GB2312"/>
          <w:spacing w:val="-4"/>
          <w:sz w:val="32"/>
          <w:szCs w:val="32"/>
        </w:rPr>
      </w:pPr>
      <w:r>
        <w:rPr>
          <w:rFonts w:hint="eastAsia" w:ascii="仿宋_GB2312" w:hAnsi="黑体" w:eastAsia="仿宋_GB2312"/>
          <w:spacing w:val="-4"/>
          <w:sz w:val="32"/>
          <w:szCs w:val="32"/>
        </w:rPr>
        <w:t>解读人：   吴劲松           蒋阳</w:t>
      </w:r>
    </w:p>
    <w:p>
      <w:pPr>
        <w:spacing w:line="560" w:lineRule="exact"/>
        <w:ind w:firstLine="624" w:firstLineChars="200"/>
        <w:rPr>
          <w:rFonts w:ascii="仿宋_GB2312" w:hAnsi="黑体" w:eastAsia="仿宋_GB2312"/>
          <w:spacing w:val="-4"/>
          <w:sz w:val="32"/>
          <w:szCs w:val="32"/>
        </w:rPr>
      </w:pPr>
      <w:r>
        <w:rPr>
          <w:rFonts w:hint="eastAsia" w:ascii="仿宋_GB2312" w:hAnsi="黑体" w:eastAsia="仿宋_GB2312"/>
          <w:spacing w:val="-4"/>
          <w:sz w:val="32"/>
          <w:szCs w:val="32"/>
        </w:rPr>
        <w:t>联系方式：   82064547       89976397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66551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8E"/>
    <w:rsid w:val="00034DEF"/>
    <w:rsid w:val="000628F2"/>
    <w:rsid w:val="0006774A"/>
    <w:rsid w:val="000A6266"/>
    <w:rsid w:val="000B0AF8"/>
    <w:rsid w:val="0015415E"/>
    <w:rsid w:val="00166760"/>
    <w:rsid w:val="00186669"/>
    <w:rsid w:val="002213F0"/>
    <w:rsid w:val="002A71EE"/>
    <w:rsid w:val="00363250"/>
    <w:rsid w:val="003E2F80"/>
    <w:rsid w:val="004562FE"/>
    <w:rsid w:val="00501EDE"/>
    <w:rsid w:val="00532738"/>
    <w:rsid w:val="005C2386"/>
    <w:rsid w:val="005E58C1"/>
    <w:rsid w:val="00676F41"/>
    <w:rsid w:val="00686EC8"/>
    <w:rsid w:val="00696DBD"/>
    <w:rsid w:val="006C7A87"/>
    <w:rsid w:val="006D5C40"/>
    <w:rsid w:val="006F6ED7"/>
    <w:rsid w:val="00743003"/>
    <w:rsid w:val="00821B04"/>
    <w:rsid w:val="00846BE4"/>
    <w:rsid w:val="008B15AA"/>
    <w:rsid w:val="00A052C9"/>
    <w:rsid w:val="00A27F5A"/>
    <w:rsid w:val="00B342D8"/>
    <w:rsid w:val="00B57EDF"/>
    <w:rsid w:val="00B77D3C"/>
    <w:rsid w:val="00BC0D0D"/>
    <w:rsid w:val="00C3357F"/>
    <w:rsid w:val="00D01092"/>
    <w:rsid w:val="00D65C5D"/>
    <w:rsid w:val="00DC3990"/>
    <w:rsid w:val="00E07246"/>
    <w:rsid w:val="00E227D3"/>
    <w:rsid w:val="00F27959"/>
    <w:rsid w:val="00F5432A"/>
    <w:rsid w:val="00F7308E"/>
    <w:rsid w:val="76B7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141</Words>
  <Characters>810</Characters>
  <Lines>6</Lines>
  <Paragraphs>1</Paragraphs>
  <TotalTime>2</TotalTime>
  <ScaleCrop>false</ScaleCrop>
  <LinksUpToDate>false</LinksUpToDate>
  <CharactersWithSpaces>950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2021-03-24T15:02:00Z</dcterms:created>
  <dc:creator>AutoBVT</dc:creator>
  <cp:lastModifiedBy>thtf</cp:lastModifiedBy>
  <dcterms:modified xsi:type="dcterms:W3CDTF">2021-06-01T15:45:26Z</dcterms:modified>
  <dc:title>《嘉兴市级体育发展专项资金管理办法》政策解读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